
<file path=[Content_Types].xml><?xml version="1.0" encoding="utf-8"?>
<Types xmlns="http://schemas.openxmlformats.org/package/2006/content-types">
  <Override PartName="/_rels/.rels" ContentType="application/vnd.openxmlformats-package.relationships+xml"/>
  <Override PartName="/word/header4.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header2.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word/header3.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8"/>
        <w:spacing w:after="57" w:before="57"/>
        <w:contextualSpacing w:val="false"/>
        <w:rPr/>
      </w:pPr>
      <w:r>
        <w:rPr/>
        <w:t>Тексты, показанные зеленым шрифтом, не будут печататься.</w:t>
      </w:r>
    </w:p>
    <w:p>
      <w:pPr>
        <w:pStyle w:val="style47"/>
        <w:rPr/>
      </w:pPr>
      <w:r>
        <w:rPr/>
        <w:t>Справочник наблюдателя — www.nablawiki.ru</w:t>
      </w:r>
    </w:p>
    <w:p>
      <w:pPr>
        <w:pStyle w:val="style32"/>
        <w:rPr/>
      </w:pPr>
      <w:r>
        <w:rPr/>
        <w:t>О выборах депутатов представительного органа муниципального образования в Рязанской области (областной закон от 05.08.2011 № 63−ОЗ)</w:t>
      </w:r>
    </w:p>
    <w:p>
      <w:pPr>
        <w:pStyle w:val="style33"/>
        <w:rPr/>
      </w:pPr>
      <w:r>
        <w:rPr/>
        <w:t>(в редакции, действующей по состоянию на 07.02.2014)</w:t>
      </w:r>
    </w:p>
    <w:p>
      <w:pPr>
        <w:pStyle w:val="style47"/>
        <w:rPr/>
      </w:pPr>
      <w:r>
        <w:rPr/>
        <w:t>Справочник наблюдателя — www.nablawiki.ru</w:t>
      </w:r>
    </w:p>
    <w:p>
      <w:pPr>
        <w:pStyle w:val="style1"/>
        <w:rPr/>
      </w:pPr>
      <w:r>
        <w:rPr/>
        <w:t>Закон Рязанской области от 5 августа 2011 г. № 63-ОЗ</w:t>
        <w:br/>
        <w:t>«О выборах депутатов представительного органа муниципального образования в Рязанской области»</w:t>
        <w:br/>
        <w:t>(принят постановлением Рязанской областной Думы от 20 июля 2011 г.)</w:t>
      </w:r>
    </w:p>
    <w:p>
      <w:pPr>
        <w:pStyle w:val="style45"/>
        <w:rPr/>
      </w:pPr>
      <w:r>
        <w:rPr/>
        <w:t>9 декабря 2011 г., 16 июля, 28 декабря 2012 г., 14 мая 2013 г.</w:t>
      </w:r>
    </w:p>
    <w:p>
      <w:pPr>
        <w:pStyle w:val="style48"/>
        <w:rPr/>
      </w:pPr>
      <w:hyperlink r:id="rId2">
        <w:r>
          <w:rPr>
            <w:rStyle w:val="style18"/>
          </w:rPr>
          <w:t xml:space="preserve">О выборах депутатов представительного органа муниципального образования в Рязанской области (областной закон от 05.08.2011 № 63−ОЗ). </w:t>
        </w:r>
      </w:hyperlink>
      <w:r>
        <w:rPr/>
        <w:t xml:space="preserve">(ст.ст. 1−81) </w:t>
      </w:r>
    </w:p>
    <w:p>
      <w:pPr>
        <w:pStyle w:val="style49"/>
        <w:rPr/>
      </w:pPr>
      <w:hyperlink w:anchor="Lbl100">
        <w:r>
          <w:rPr>
            <w:rStyle w:val="style18"/>
          </w:rPr>
          <w:t xml:space="preserve">Глава 1. </w:t>
        </w:r>
        <w:r>
          <w:rPr>
            <w:rStyle w:val="style17"/>
          </w:rPr>
          <w:t>Общие положения</w:t>
        </w:r>
      </w:hyperlink>
      <w:r>
        <w:rPr/>
        <w:t xml:space="preserve"> (ст.ст. 1−8) </w:t>
      </w:r>
    </w:p>
    <w:p>
      <w:pPr>
        <w:pStyle w:val="style50"/>
        <w:rPr/>
      </w:pPr>
      <w:hyperlink w:anchor="Lbl1">
        <w:r>
          <w:rPr>
            <w:rStyle w:val="style18"/>
          </w:rPr>
          <w:t xml:space="preserve">Статья 1. </w:t>
        </w:r>
        <w:r>
          <w:rPr>
            <w:rStyle w:val="style17"/>
          </w:rPr>
          <w:t>Предмет регулирования и пределы действия настоящего Закона</w:t>
        </w:r>
      </w:hyperlink>
      <w:r>
        <w:rPr/>
        <w:t xml:space="preserve"> </w:t>
      </w:r>
    </w:p>
    <w:p>
      <w:pPr>
        <w:pStyle w:val="style50"/>
        <w:rPr/>
      </w:pPr>
      <w:hyperlink w:anchor="Lbl2">
        <w:r>
          <w:rPr>
            <w:rStyle w:val="style18"/>
          </w:rPr>
          <w:t xml:space="preserve">Статья 2. </w:t>
        </w:r>
        <w:r>
          <w:rPr>
            <w:rStyle w:val="style17"/>
          </w:rPr>
          <w:t>Основные принципы проведения выборов депутатов представительного органа муниципального образования</w:t>
        </w:r>
      </w:hyperlink>
      <w:r>
        <w:rPr/>
        <w:t xml:space="preserve"> </w:t>
      </w:r>
    </w:p>
    <w:p>
      <w:pPr>
        <w:pStyle w:val="style50"/>
        <w:rPr/>
      </w:pPr>
      <w:hyperlink w:anchor="Lbl3">
        <w:r>
          <w:rPr>
            <w:rStyle w:val="style18"/>
          </w:rPr>
          <w:t xml:space="preserve">Статья 3. </w:t>
        </w:r>
        <w:r>
          <w:rPr>
            <w:rStyle w:val="style17"/>
          </w:rPr>
          <w:t>Законодательство о выборах депутатов представительного органа муниципального образования</w:t>
        </w:r>
      </w:hyperlink>
      <w:r>
        <w:rPr/>
        <w:t xml:space="preserve"> </w:t>
      </w:r>
    </w:p>
    <w:p>
      <w:pPr>
        <w:pStyle w:val="style50"/>
        <w:rPr/>
      </w:pPr>
      <w:hyperlink w:anchor="Lbl4">
        <w:r>
          <w:rPr>
            <w:rStyle w:val="style18"/>
          </w:rPr>
          <w:t xml:space="preserve">Статья 4. </w:t>
        </w:r>
        <w:r>
          <w:rPr>
            <w:rStyle w:val="style17"/>
          </w:rPr>
          <w:t>Обязательность проведения выборов</w:t>
        </w:r>
      </w:hyperlink>
      <w:r>
        <w:rPr/>
        <w:t xml:space="preserve"> </w:t>
      </w:r>
    </w:p>
    <w:p>
      <w:pPr>
        <w:pStyle w:val="style50"/>
        <w:rPr/>
      </w:pPr>
      <w:hyperlink w:anchor="Lbl5">
        <w:r>
          <w:rPr>
            <w:rStyle w:val="style18"/>
          </w:rPr>
          <w:t xml:space="preserve">Статья 5. </w:t>
        </w:r>
        <w:r>
          <w:rPr>
            <w:rStyle w:val="style17"/>
          </w:rPr>
          <w:t>Избирательные права гражданина Российской Федерации на выборах депутатов представительного органа муниципального образования</w:t>
        </w:r>
      </w:hyperlink>
      <w:r>
        <w:rPr/>
        <w:t xml:space="preserve"> </w:t>
      </w:r>
    </w:p>
    <w:p>
      <w:pPr>
        <w:pStyle w:val="style50"/>
        <w:rPr/>
      </w:pPr>
      <w:hyperlink w:anchor="Lbl6">
        <w:r>
          <w:rPr>
            <w:rStyle w:val="style18"/>
          </w:rPr>
          <w:t xml:space="preserve">Статья 6. </w:t>
        </w:r>
        <w:r>
          <w:rPr>
            <w:rStyle w:val="style17"/>
          </w:rPr>
          <w:t>Срок полномочий представительного органа муниципального образования</w:t>
        </w:r>
      </w:hyperlink>
      <w:r>
        <w:rPr/>
        <w:t xml:space="preserve"> </w:t>
      </w:r>
    </w:p>
    <w:p>
      <w:pPr>
        <w:pStyle w:val="style50"/>
        <w:rPr/>
      </w:pPr>
      <w:hyperlink w:anchor="Lbl7">
        <w:r>
          <w:rPr>
            <w:rStyle w:val="style18"/>
          </w:rPr>
          <w:t xml:space="preserve">Статья 7. </w:t>
        </w:r>
        <w:r>
          <w:rPr>
            <w:rStyle w:val="style17"/>
          </w:rPr>
          <w:t>Назначение выборов депутатов представительного органа муниципального образования</w:t>
        </w:r>
      </w:hyperlink>
      <w:r>
        <w:rPr/>
        <w:t xml:space="preserve"> </w:t>
      </w:r>
    </w:p>
    <w:p>
      <w:pPr>
        <w:pStyle w:val="style50"/>
        <w:rPr/>
      </w:pPr>
      <w:hyperlink w:anchor="Lbl8">
        <w:r>
          <w:rPr>
            <w:rStyle w:val="style18"/>
          </w:rPr>
          <w:t xml:space="preserve">Статья 8. </w:t>
        </w:r>
        <w:r>
          <w:rPr>
            <w:rStyle w:val="style17"/>
          </w:rPr>
          <w:t>Избирательные системы, применяемые при проведении выборов депутатов представительного органа муниципального образования</w:t>
        </w:r>
      </w:hyperlink>
      <w:r>
        <w:rPr/>
        <w:t xml:space="preserve"> </w:t>
      </w:r>
    </w:p>
    <w:p>
      <w:pPr>
        <w:pStyle w:val="style49"/>
        <w:rPr/>
      </w:pPr>
      <w:hyperlink w:anchor="Lbl200">
        <w:r>
          <w:rPr>
            <w:rStyle w:val="style18"/>
          </w:rPr>
          <w:t xml:space="preserve">Глава 2. </w:t>
        </w:r>
        <w:r>
          <w:rPr>
            <w:rStyle w:val="style17"/>
          </w:rPr>
          <w:t>Списки избирателей. Избирательные округа. Избирательные участки</w:t>
        </w:r>
      </w:hyperlink>
      <w:r>
        <w:rPr/>
        <w:t xml:space="preserve"> (ст.ст. 9−13) </w:t>
      </w:r>
    </w:p>
    <w:p>
      <w:pPr>
        <w:pStyle w:val="style50"/>
        <w:rPr/>
      </w:pPr>
      <w:hyperlink w:anchor="Lbl9">
        <w:r>
          <w:rPr>
            <w:rStyle w:val="style18"/>
          </w:rPr>
          <w:t xml:space="preserve">Статья 9. </w:t>
        </w:r>
        <w:r>
          <w:rPr>
            <w:rStyle w:val="style17"/>
          </w:rPr>
          <w:t>Составление списков избирателей</w:t>
        </w:r>
      </w:hyperlink>
      <w:r>
        <w:rPr/>
        <w:t xml:space="preserve"> </w:t>
      </w:r>
    </w:p>
    <w:p>
      <w:pPr>
        <w:pStyle w:val="style50"/>
        <w:rPr/>
      </w:pPr>
      <w:hyperlink w:anchor="Lbl10">
        <w:r>
          <w:rPr>
            <w:rStyle w:val="style18"/>
          </w:rPr>
          <w:t xml:space="preserve">Статья 10. </w:t>
        </w:r>
        <w:r>
          <w:rPr>
            <w:rStyle w:val="style17"/>
          </w:rPr>
          <w:t>Порядок включения в список избирателей и исключения из списка избирателей граждан Российской Федерации</w:t>
        </w:r>
      </w:hyperlink>
      <w:r>
        <w:rPr/>
        <w:t xml:space="preserve"> </w:t>
      </w:r>
    </w:p>
    <w:p>
      <w:pPr>
        <w:pStyle w:val="style50"/>
        <w:rPr/>
      </w:pPr>
      <w:hyperlink w:anchor="Lbl11">
        <w:r>
          <w:rPr>
            <w:rStyle w:val="style18"/>
          </w:rPr>
          <w:t xml:space="preserve">Статья 11. </w:t>
        </w:r>
        <w:r>
          <w:rPr>
            <w:rStyle w:val="style17"/>
          </w:rPr>
          <w:t>Ознакомление избирателей со списками избирателей, уточнение списков избирателей</w:t>
        </w:r>
      </w:hyperlink>
      <w:r>
        <w:rPr/>
        <w:t xml:space="preserve"> </w:t>
      </w:r>
    </w:p>
    <w:p>
      <w:pPr>
        <w:pStyle w:val="style50"/>
        <w:rPr/>
      </w:pPr>
      <w:hyperlink w:anchor="Lbl12">
        <w:r>
          <w:rPr>
            <w:rStyle w:val="style18"/>
          </w:rPr>
          <w:t xml:space="preserve">Статья 12. </w:t>
        </w:r>
        <w:r>
          <w:rPr>
            <w:rStyle w:val="style17"/>
          </w:rPr>
          <w:t>Образование одномандатных и (или) многомандатных избирательных округов. Единый избирательный округ</w:t>
        </w:r>
      </w:hyperlink>
      <w:r>
        <w:rPr/>
        <w:t xml:space="preserve"> </w:t>
      </w:r>
    </w:p>
    <w:p>
      <w:pPr>
        <w:pStyle w:val="style50"/>
        <w:rPr/>
      </w:pPr>
      <w:hyperlink w:anchor="Lbl13">
        <w:r>
          <w:rPr>
            <w:rStyle w:val="style18"/>
          </w:rPr>
          <w:t xml:space="preserve">Статья 13. </w:t>
        </w:r>
        <w:r>
          <w:rPr>
            <w:rStyle w:val="style17"/>
          </w:rPr>
          <w:t>Образование избирательных участков</w:t>
        </w:r>
      </w:hyperlink>
      <w:r>
        <w:rPr/>
        <w:t xml:space="preserve"> </w:t>
      </w:r>
    </w:p>
    <w:p>
      <w:pPr>
        <w:pStyle w:val="style49"/>
        <w:rPr/>
      </w:pPr>
      <w:hyperlink w:anchor="Lbl300">
        <w:r>
          <w:rPr>
            <w:rStyle w:val="style18"/>
          </w:rPr>
          <w:t xml:space="preserve">Глава 3. </w:t>
        </w:r>
        <w:r>
          <w:rPr>
            <w:rStyle w:val="style17"/>
          </w:rPr>
          <w:t>Избирательные комиссии</w:t>
        </w:r>
      </w:hyperlink>
      <w:r>
        <w:rPr/>
        <w:t xml:space="preserve"> (ст.ст. 14−22) </w:t>
      </w:r>
    </w:p>
    <w:p>
      <w:pPr>
        <w:pStyle w:val="style50"/>
        <w:rPr/>
      </w:pPr>
      <w:hyperlink w:anchor="Lbl14">
        <w:r>
          <w:rPr>
            <w:rStyle w:val="style18"/>
          </w:rPr>
          <w:t xml:space="preserve">Статья 14. </w:t>
        </w:r>
        <w:r>
          <w:rPr>
            <w:rStyle w:val="style17"/>
          </w:rPr>
          <w:t>Система и статус избирательных комиссий по выборам депутатов представительного органа муниципального образования</w:t>
        </w:r>
      </w:hyperlink>
      <w:r>
        <w:rPr/>
        <w:t xml:space="preserve"> </w:t>
      </w:r>
    </w:p>
    <w:p>
      <w:pPr>
        <w:pStyle w:val="style50"/>
        <w:rPr/>
      </w:pPr>
      <w:hyperlink w:anchor="Lbl15">
        <w:r>
          <w:rPr>
            <w:rStyle w:val="style18"/>
          </w:rPr>
          <w:t xml:space="preserve">Статья 15. </w:t>
        </w:r>
        <w:r>
          <w:rPr>
            <w:rStyle w:val="style17"/>
          </w:rPr>
          <w:t>Порядок формирования и полномочия избирательной комиссии муниципального образования</w:t>
        </w:r>
      </w:hyperlink>
      <w:r>
        <w:rPr/>
        <w:t xml:space="preserve"> </w:t>
      </w:r>
    </w:p>
    <w:p>
      <w:pPr>
        <w:pStyle w:val="style50"/>
        <w:rPr/>
      </w:pPr>
      <w:hyperlink w:anchor="Lbl16">
        <w:r>
          <w:rPr>
            <w:rStyle w:val="style18"/>
          </w:rPr>
          <w:t xml:space="preserve">Статья 16. </w:t>
        </w:r>
        <w:r>
          <w:rPr>
            <w:rStyle w:val="style17"/>
          </w:rPr>
          <w:t>Порядок формирования и полномочия окружной избирательной комиссии</w:t>
        </w:r>
      </w:hyperlink>
      <w:r>
        <w:rPr/>
        <w:t xml:space="preserve"> </w:t>
      </w:r>
    </w:p>
    <w:p>
      <w:pPr>
        <w:pStyle w:val="style50"/>
        <w:rPr/>
      </w:pPr>
      <w:hyperlink w:anchor="Lbl17">
        <w:r>
          <w:rPr>
            <w:rStyle w:val="style18"/>
          </w:rPr>
          <w:t xml:space="preserve">Статья 17. </w:t>
        </w:r>
        <w:r>
          <w:rPr>
            <w:rStyle w:val="style17"/>
          </w:rPr>
          <w:t>Порядок формирования и полномочия участковой избирательной комиссии</w:t>
        </w:r>
      </w:hyperlink>
      <w:r>
        <w:rPr/>
        <w:t xml:space="preserve"> </w:t>
      </w:r>
    </w:p>
    <w:p>
      <w:pPr>
        <w:pStyle w:val="style50"/>
        <w:rPr/>
      </w:pPr>
      <w:hyperlink w:anchor="Lbl18">
        <w:r>
          <w:rPr>
            <w:rStyle w:val="style18"/>
          </w:rPr>
          <w:t xml:space="preserve">Статья 18. </w:t>
        </w:r>
        <w:r>
          <w:rPr>
            <w:rStyle w:val="style17"/>
          </w:rPr>
          <w:t>Полномочия Избирательной комиссии Рязанской области при подготовке и проведении выборов депутатов представительного органа муниципального образования</w:t>
        </w:r>
      </w:hyperlink>
      <w:r>
        <w:rPr/>
        <w:t xml:space="preserve"> </w:t>
      </w:r>
    </w:p>
    <w:p>
      <w:pPr>
        <w:pStyle w:val="style50"/>
        <w:rPr/>
      </w:pPr>
      <w:hyperlink w:anchor="Lbl19">
        <w:r>
          <w:rPr>
            <w:rStyle w:val="style18"/>
          </w:rPr>
          <w:t xml:space="preserve">Статья 19. </w:t>
        </w:r>
        <w:r>
          <w:rPr>
            <w:rStyle w:val="style17"/>
          </w:rPr>
          <w:t>Организация деятельности избирательных комиссий. Содействие избирательным комиссиям в реализации их полномочий</w:t>
        </w:r>
      </w:hyperlink>
      <w:r>
        <w:rPr/>
        <w:t xml:space="preserve"> </w:t>
      </w:r>
    </w:p>
    <w:p>
      <w:pPr>
        <w:pStyle w:val="style50"/>
        <w:rPr/>
      </w:pPr>
      <w:hyperlink w:anchor="Lbl20">
        <w:r>
          <w:rPr>
            <w:rStyle w:val="style18"/>
          </w:rPr>
          <w:t xml:space="preserve">Статья 20. </w:t>
        </w:r>
        <w:r>
          <w:rPr>
            <w:rStyle w:val="style17"/>
          </w:rPr>
          <w:t>Статус членов избирательных комиссий</w:t>
        </w:r>
      </w:hyperlink>
      <w:r>
        <w:rPr/>
        <w:t xml:space="preserve"> </w:t>
      </w:r>
    </w:p>
    <w:p>
      <w:pPr>
        <w:pStyle w:val="style50"/>
        <w:rPr/>
      </w:pPr>
      <w:hyperlink w:anchor="Lbl21">
        <w:r>
          <w:rPr>
            <w:rStyle w:val="style18"/>
          </w:rPr>
          <w:t xml:space="preserve">Статья 21. </w:t>
        </w:r>
        <w:r>
          <w:rPr>
            <w:rStyle w:val="style17"/>
          </w:rPr>
          <w:t>Гласность в деятельности избирательных комиссий</w:t>
        </w:r>
      </w:hyperlink>
      <w:r>
        <w:rPr/>
        <w:t xml:space="preserve"> </w:t>
      </w:r>
    </w:p>
    <w:p>
      <w:pPr>
        <w:pStyle w:val="style50"/>
        <w:rPr/>
      </w:pPr>
      <w:hyperlink w:anchor="Lbl22">
        <w:r>
          <w:rPr>
            <w:rStyle w:val="style18"/>
          </w:rPr>
          <w:t xml:space="preserve">Статья 22. </w:t>
        </w:r>
        <w:r>
          <w:rPr>
            <w:rStyle w:val="style17"/>
          </w:rPr>
          <w:t>Расформирование избирательной комиссии</w:t>
        </w:r>
      </w:hyperlink>
      <w:r>
        <w:rPr/>
        <w:t xml:space="preserve"> </w:t>
      </w:r>
    </w:p>
    <w:p>
      <w:pPr>
        <w:pStyle w:val="style49"/>
        <w:rPr/>
      </w:pPr>
      <w:hyperlink w:anchor="Lbl400">
        <w:r>
          <w:rPr>
            <w:rStyle w:val="style18"/>
          </w:rPr>
          <w:t xml:space="preserve">Глава 4. </w:t>
        </w:r>
        <w:r>
          <w:rPr>
            <w:rStyle w:val="style17"/>
          </w:rPr>
          <w:t>Избирательные объединения на выборах депутатов представительного органа муниципального образования</w:t>
        </w:r>
      </w:hyperlink>
      <w:r>
        <w:rPr/>
        <w:t xml:space="preserve"> (ст.ст. 23−25) </w:t>
      </w:r>
    </w:p>
    <w:p>
      <w:pPr>
        <w:pStyle w:val="style50"/>
        <w:rPr/>
      </w:pPr>
      <w:hyperlink w:anchor="Lbl23">
        <w:r>
          <w:rPr>
            <w:rStyle w:val="style18"/>
          </w:rPr>
          <w:t xml:space="preserve">Статья 23. </w:t>
        </w:r>
        <w:r>
          <w:rPr>
            <w:rStyle w:val="style17"/>
          </w:rPr>
          <w:t>Участие избирательных объединений в выборах депутатов представительного органа муниципального образования</w:t>
        </w:r>
      </w:hyperlink>
      <w:r>
        <w:rPr/>
        <w:t xml:space="preserve"> </w:t>
      </w:r>
    </w:p>
    <w:p>
      <w:pPr>
        <w:pStyle w:val="style50"/>
        <w:rPr/>
      </w:pPr>
      <w:hyperlink w:anchor="Lbl24">
        <w:r>
          <w:rPr>
            <w:rStyle w:val="style18"/>
          </w:rPr>
          <w:t xml:space="preserve">Статья 24. </w:t>
        </w:r>
        <w:r>
          <w:rPr>
            <w:rStyle w:val="style17"/>
          </w:rPr>
          <w:t>Наименование и эмблема избирательного объединения</w:t>
        </w:r>
      </w:hyperlink>
      <w:r>
        <w:rPr/>
        <w:t xml:space="preserve"> </w:t>
      </w:r>
    </w:p>
    <w:p>
      <w:pPr>
        <w:pStyle w:val="style50"/>
        <w:rPr/>
      </w:pPr>
      <w:hyperlink w:anchor="Lbl25">
        <w:r>
          <w:rPr>
            <w:rStyle w:val="style18"/>
          </w:rPr>
          <w:t xml:space="preserve">Статья 25. </w:t>
        </w:r>
        <w:r>
          <w:rPr>
            <w:rStyle w:val="style17"/>
          </w:rPr>
          <w:t>Уполномоченные представители избирательного объединения</w:t>
        </w:r>
      </w:hyperlink>
      <w:r>
        <w:rPr/>
        <w:t xml:space="preserve"> </w:t>
      </w:r>
    </w:p>
    <w:p>
      <w:pPr>
        <w:pStyle w:val="style49"/>
        <w:rPr/>
      </w:pPr>
      <w:hyperlink w:anchor="Lbl500">
        <w:r>
          <w:rPr>
            <w:rStyle w:val="style18"/>
          </w:rPr>
          <w:t xml:space="preserve">Глава 5. </w:t>
        </w:r>
        <w:r>
          <w:rPr>
            <w:rStyle w:val="style17"/>
          </w:rPr>
          <w:t>Выдвижение и регистрация кандидатов, списков кандидатов</w:t>
        </w:r>
      </w:hyperlink>
      <w:r>
        <w:rPr/>
        <w:t xml:space="preserve"> (ст.ст. 26−35) </w:t>
      </w:r>
    </w:p>
    <w:p>
      <w:pPr>
        <w:pStyle w:val="style50"/>
        <w:rPr/>
      </w:pPr>
      <w:hyperlink w:anchor="Lbl26">
        <w:r>
          <w:rPr>
            <w:rStyle w:val="style18"/>
          </w:rPr>
          <w:t xml:space="preserve">Статья 26. </w:t>
        </w:r>
        <w:r>
          <w:rPr>
            <w:rStyle w:val="style17"/>
          </w:rPr>
          <w:t>Общие условия выдвижения кандидатов</w:t>
        </w:r>
      </w:hyperlink>
      <w:r>
        <w:rPr/>
        <w:t xml:space="preserve"> </w:t>
      </w:r>
    </w:p>
    <w:p>
      <w:pPr>
        <w:pStyle w:val="style50"/>
        <w:rPr/>
      </w:pPr>
      <w:hyperlink w:anchor="Lbl27">
        <w:r>
          <w:rPr>
            <w:rStyle w:val="style18"/>
          </w:rPr>
          <w:t xml:space="preserve">Статья 27. </w:t>
        </w:r>
        <w:r>
          <w:rPr>
            <w:rStyle w:val="style17"/>
          </w:rPr>
          <w:t>Самовыдвижение кандидатов по одномандатным (многомандатным) избирательным округам</w:t>
        </w:r>
      </w:hyperlink>
      <w:r>
        <w:rPr/>
        <w:t xml:space="preserve"> </w:t>
      </w:r>
    </w:p>
    <w:p>
      <w:pPr>
        <w:pStyle w:val="style50"/>
        <w:rPr/>
      </w:pPr>
      <w:hyperlink w:anchor="Lbl28">
        <w:r>
          <w:rPr>
            <w:rStyle w:val="style18"/>
          </w:rPr>
          <w:t xml:space="preserve">Статья 28. </w:t>
        </w:r>
        <w:r>
          <w:rPr>
            <w:rStyle w:val="style17"/>
          </w:rPr>
          <w:t>Выдвижение кандидатов избирательным объединением по одномандатным (многомандатным) избирательным округам</w:t>
        </w:r>
      </w:hyperlink>
      <w:r>
        <w:rPr/>
        <w:t xml:space="preserve"> </w:t>
      </w:r>
    </w:p>
    <w:p>
      <w:pPr>
        <w:pStyle w:val="style50"/>
        <w:rPr/>
      </w:pPr>
      <w:hyperlink w:anchor="Lbl29">
        <w:r>
          <w:rPr>
            <w:rStyle w:val="style18"/>
          </w:rPr>
          <w:t xml:space="preserve">Статья 29. </w:t>
        </w:r>
        <w:r>
          <w:rPr>
            <w:rStyle w:val="style17"/>
          </w:rPr>
          <w:t>Выдвижение избирательными объединениями муниципальных списков кандидатов по единому избирательному округу</w:t>
        </w:r>
      </w:hyperlink>
      <w:r>
        <w:rPr/>
        <w:t xml:space="preserve"> </w:t>
      </w:r>
    </w:p>
    <w:p>
      <w:pPr>
        <w:pStyle w:val="style50"/>
        <w:rPr/>
      </w:pPr>
      <w:hyperlink w:anchor="Lbl30">
        <w:r>
          <w:rPr>
            <w:rStyle w:val="style18"/>
          </w:rPr>
          <w:t xml:space="preserve">Статья 30. </w:t>
        </w:r>
        <w:r>
          <w:rPr>
            <w:rStyle w:val="style17"/>
          </w:rPr>
          <w:t>Представление списков кандидатов и иных избирательных документов избирательных объединений в избирательную комиссию муниципального образования. Представление документов кандидатов, выдвинутых избирательными объединениями по одномандатным (многомандатным) избирательным округам, в окружные избирательные комиссии</w:t>
        </w:r>
      </w:hyperlink>
      <w:r>
        <w:rPr/>
        <w:t xml:space="preserve"> </w:t>
      </w:r>
    </w:p>
    <w:p>
      <w:pPr>
        <w:pStyle w:val="style50"/>
        <w:rPr/>
      </w:pPr>
      <w:hyperlink w:anchor="Lbl31">
        <w:r>
          <w:rPr>
            <w:rStyle w:val="style18"/>
          </w:rPr>
          <w:t xml:space="preserve">Статья 31. </w:t>
        </w:r>
        <w:r>
          <w:rPr>
            <w:rStyle w:val="style17"/>
          </w:rPr>
          <w:t>Поддержка самовыдвижения кандидатов</w:t>
        </w:r>
      </w:hyperlink>
      <w:r>
        <w:rPr/>
        <w:t xml:space="preserve"> </w:t>
      </w:r>
    </w:p>
    <w:p>
      <w:pPr>
        <w:pStyle w:val="style50"/>
        <w:rPr/>
      </w:pPr>
      <w:hyperlink w:anchor="Lbl32">
        <w:r>
          <w:rPr>
            <w:rStyle w:val="style18"/>
          </w:rPr>
          <w:t xml:space="preserve">Статья 32. </w:t>
        </w:r>
        <w:r>
          <w:rPr>
            <w:rStyle w:val="style17"/>
          </w:rPr>
          <w:t>Порядок сбора подписей избирателей в поддержку самовыдвижения кандидатов</w:t>
        </w:r>
      </w:hyperlink>
      <w:r>
        <w:rPr/>
        <w:t xml:space="preserve"> </w:t>
      </w:r>
    </w:p>
    <w:p>
      <w:pPr>
        <w:pStyle w:val="style50"/>
        <w:rPr/>
      </w:pPr>
      <w:hyperlink w:anchor="Lbl33">
        <w:r>
          <w:rPr>
            <w:rStyle w:val="style18"/>
          </w:rPr>
          <w:t xml:space="preserve">Статья 33. </w:t>
        </w:r>
        <w:r>
          <w:rPr>
            <w:rStyle w:val="style17"/>
          </w:rPr>
          <w:t>Представление избирательных документов для регистрации кандидатов, муниципальных списков кандидатов</w:t>
        </w:r>
      </w:hyperlink>
      <w:r>
        <w:rPr/>
        <w:t xml:space="preserve"> </w:t>
      </w:r>
    </w:p>
    <w:p>
      <w:pPr>
        <w:pStyle w:val="style50"/>
        <w:rPr/>
      </w:pPr>
      <w:hyperlink w:anchor="Lbl34">
        <w:r>
          <w:rPr>
            <w:rStyle w:val="style18"/>
          </w:rPr>
          <w:t xml:space="preserve">Статья 34. </w:t>
        </w:r>
        <w:r>
          <w:rPr>
            <w:rStyle w:val="style17"/>
          </w:rPr>
          <w:t>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hyperlink>
      <w:r>
        <w:rPr/>
        <w:t xml:space="preserve"> </w:t>
      </w:r>
    </w:p>
    <w:p>
      <w:pPr>
        <w:pStyle w:val="style50"/>
        <w:rPr/>
      </w:pPr>
      <w:hyperlink w:anchor="Lbl35">
        <w:r>
          <w:rPr>
            <w:rStyle w:val="style18"/>
          </w:rPr>
          <w:t xml:space="preserve">Статья 35. </w:t>
        </w:r>
        <w:r>
          <w:rPr>
            <w:rStyle w:val="style17"/>
          </w:rPr>
          <w:t>Регистрация кандидата, муниципального списка кандидатов</w:t>
        </w:r>
      </w:hyperlink>
      <w:r>
        <w:rPr/>
        <w:t xml:space="preserve"> </w:t>
      </w:r>
    </w:p>
    <w:p>
      <w:pPr>
        <w:pStyle w:val="style49"/>
        <w:rPr/>
      </w:pPr>
      <w:hyperlink w:anchor="Lbl600">
        <w:r>
          <w:rPr>
            <w:rStyle w:val="style18"/>
          </w:rPr>
          <w:t xml:space="preserve">Глава 6. </w:t>
        </w:r>
        <w:r>
          <w:rPr>
            <w:rStyle w:val="style17"/>
          </w:rPr>
          <w:t>Статус кандидатов</w:t>
        </w:r>
      </w:hyperlink>
      <w:r>
        <w:rPr/>
        <w:t xml:space="preserve"> (ст.ст. 36−40) </w:t>
      </w:r>
    </w:p>
    <w:p>
      <w:pPr>
        <w:pStyle w:val="style50"/>
        <w:rPr/>
      </w:pPr>
      <w:hyperlink w:anchor="Lbl36">
        <w:r>
          <w:rPr>
            <w:rStyle w:val="style18"/>
          </w:rPr>
          <w:t xml:space="preserve">Статья 36. </w:t>
        </w:r>
        <w:r>
          <w:rPr>
            <w:rStyle w:val="style17"/>
          </w:rPr>
          <w:t>Равенство кандидатов</w:t>
        </w:r>
      </w:hyperlink>
      <w:r>
        <w:rPr/>
        <w:t xml:space="preserve"> </w:t>
      </w:r>
    </w:p>
    <w:p>
      <w:pPr>
        <w:pStyle w:val="style50"/>
        <w:rPr/>
      </w:pPr>
      <w:hyperlink w:anchor="Lbl37">
        <w:r>
          <w:rPr>
            <w:rStyle w:val="style18"/>
          </w:rPr>
          <w:t xml:space="preserve">Статья 37. </w:t>
        </w:r>
        <w:r>
          <w:rPr>
            <w:rStyle w:val="style17"/>
          </w:rPr>
          <w:t>Ограничения, связанные с должностным или служебным положением</w:t>
        </w:r>
      </w:hyperlink>
      <w:r>
        <w:rPr/>
        <w:t xml:space="preserve"> </w:t>
      </w:r>
    </w:p>
    <w:p>
      <w:pPr>
        <w:pStyle w:val="style50"/>
        <w:rPr/>
      </w:pPr>
      <w:hyperlink w:anchor="Lbl38">
        <w:r>
          <w:rPr>
            <w:rStyle w:val="style18"/>
          </w:rPr>
          <w:t xml:space="preserve">Статья 38. </w:t>
        </w:r>
        <w:r>
          <w:rPr>
            <w:rStyle w:val="style17"/>
          </w:rPr>
          <w:t>Гарантии деятельности зарегистрированного кандидата</w:t>
        </w:r>
      </w:hyperlink>
      <w:r>
        <w:rPr/>
        <w:t xml:space="preserve"> </w:t>
      </w:r>
    </w:p>
    <w:p>
      <w:pPr>
        <w:pStyle w:val="style50"/>
        <w:rPr/>
      </w:pPr>
      <w:hyperlink w:anchor="Lbl39">
        <w:r>
          <w:rPr>
            <w:rStyle w:val="style18"/>
          </w:rPr>
          <w:t xml:space="preserve">Статья 39. </w:t>
        </w:r>
        <w:r>
          <w:rPr>
            <w:rStyle w:val="style17"/>
          </w:rPr>
          <w:t>Доверенные лица кандидатов, избирательных объединений</w:t>
        </w:r>
      </w:hyperlink>
      <w:r>
        <w:rPr/>
        <w:t xml:space="preserve"> </w:t>
      </w:r>
    </w:p>
    <w:p>
      <w:pPr>
        <w:pStyle w:val="style50"/>
        <w:rPr/>
      </w:pPr>
      <w:hyperlink w:anchor="Lbl40">
        <w:r>
          <w:rPr>
            <w:rStyle w:val="style18"/>
          </w:rPr>
          <w:t xml:space="preserve">Статья 40. </w:t>
        </w:r>
        <w:r>
          <w:rPr>
            <w:rStyle w:val="style17"/>
          </w:rPr>
          <w:t>Статус уполномоченных представителей кандидатов по финансовым вопросам</w:t>
        </w:r>
      </w:hyperlink>
      <w:r>
        <w:rPr/>
        <w:t xml:space="preserve"> </w:t>
      </w:r>
    </w:p>
    <w:p>
      <w:pPr>
        <w:pStyle w:val="style49"/>
        <w:rPr/>
      </w:pPr>
      <w:hyperlink w:anchor="Lbl700">
        <w:r>
          <w:rPr>
            <w:rStyle w:val="style18"/>
          </w:rPr>
          <w:t xml:space="preserve">Глава 7. </w:t>
        </w:r>
        <w:r>
          <w:rPr>
            <w:rStyle w:val="style17"/>
          </w:rPr>
          <w:t>Информационное обеспечение выборов депутатов представительного органа муниципального образования</w:t>
        </w:r>
      </w:hyperlink>
      <w:r>
        <w:rPr/>
        <w:t xml:space="preserve"> (ст.ст. 41−52) </w:t>
      </w:r>
    </w:p>
    <w:p>
      <w:pPr>
        <w:pStyle w:val="style50"/>
        <w:rPr/>
      </w:pPr>
      <w:hyperlink w:anchor="Lbl41">
        <w:r>
          <w:rPr>
            <w:rStyle w:val="style18"/>
          </w:rPr>
          <w:t xml:space="preserve">Статья 41. </w:t>
        </w:r>
        <w:r>
          <w:rPr>
            <w:rStyle w:val="style17"/>
          </w:rPr>
          <w:t>Информационное обеспечение выборов</w:t>
        </w:r>
      </w:hyperlink>
      <w:r>
        <w:rPr/>
        <w:t xml:space="preserve"> </w:t>
      </w:r>
    </w:p>
    <w:p>
      <w:pPr>
        <w:pStyle w:val="style50"/>
        <w:rPr/>
      </w:pPr>
      <w:hyperlink w:anchor="Lbl42">
        <w:r>
          <w:rPr>
            <w:rStyle w:val="style18"/>
          </w:rPr>
          <w:t xml:space="preserve">Статья 42. </w:t>
        </w:r>
        <w:r>
          <w:rPr>
            <w:rStyle w:val="style17"/>
          </w:rPr>
          <w:t>Информирование избирателей</w:t>
        </w:r>
      </w:hyperlink>
      <w:r>
        <w:rPr/>
        <w:t xml:space="preserve"> </w:t>
      </w:r>
    </w:p>
    <w:p>
      <w:pPr>
        <w:pStyle w:val="style50"/>
        <w:rPr/>
      </w:pPr>
      <w:hyperlink w:anchor="Lbl43">
        <w:r>
          <w:rPr>
            <w:rStyle w:val="style18"/>
          </w:rPr>
          <w:t xml:space="preserve">Статья 43. </w:t>
        </w:r>
        <w:r>
          <w:rPr>
            <w:rStyle w:val="style17"/>
          </w:rPr>
          <w:t>Опросы общественного мнения</w:t>
        </w:r>
      </w:hyperlink>
      <w:r>
        <w:rPr/>
        <w:t xml:space="preserve"> </w:t>
      </w:r>
    </w:p>
    <w:p>
      <w:pPr>
        <w:pStyle w:val="style50"/>
        <w:rPr/>
      </w:pPr>
      <w:hyperlink w:anchor="Lbl44">
        <w:r>
          <w:rPr>
            <w:rStyle w:val="style18"/>
          </w:rPr>
          <w:t xml:space="preserve">Статья 44. </w:t>
        </w:r>
        <w:r>
          <w:rPr>
            <w:rStyle w:val="style17"/>
          </w:rPr>
          <w:t>Организации телерадиовещания и периодические печатные издания, используемые для информационного обеспечения выборов депутатов представительного органа муниципального образования</w:t>
        </w:r>
      </w:hyperlink>
      <w:r>
        <w:rPr/>
        <w:t xml:space="preserve"> </w:t>
      </w:r>
    </w:p>
    <w:p>
      <w:pPr>
        <w:pStyle w:val="style50"/>
        <w:rPr/>
      </w:pPr>
      <w:hyperlink w:anchor="Lbl45">
        <w:r>
          <w:rPr>
            <w:rStyle w:val="style18"/>
          </w:rPr>
          <w:t xml:space="preserve">Статья 45. </w:t>
        </w:r>
        <w:r>
          <w:rPr>
            <w:rStyle w:val="style17"/>
          </w:rPr>
          <w:t>Предвыборная агитация</w:t>
        </w:r>
      </w:hyperlink>
      <w:r>
        <w:rPr/>
        <w:t xml:space="preserve"> </w:t>
      </w:r>
    </w:p>
    <w:p>
      <w:pPr>
        <w:pStyle w:val="style50"/>
        <w:rPr/>
      </w:pPr>
      <w:hyperlink w:anchor="Lbl46">
        <w:r>
          <w:rPr>
            <w:rStyle w:val="style18"/>
          </w:rPr>
          <w:t xml:space="preserve">Статья 46. </w:t>
        </w:r>
        <w:r>
          <w:rPr>
            <w:rStyle w:val="style17"/>
          </w:rPr>
          <w:t>Агитационный период</w:t>
        </w:r>
      </w:hyperlink>
      <w:r>
        <w:rPr/>
        <w:t xml:space="preserve"> </w:t>
      </w:r>
    </w:p>
    <w:p>
      <w:pPr>
        <w:pStyle w:val="style50"/>
        <w:rPr/>
      </w:pPr>
      <w:hyperlink w:anchor="Lbl47">
        <w:r>
          <w:rPr>
            <w:rStyle w:val="style18"/>
          </w:rPr>
          <w:t xml:space="preserve">Статья 47. </w:t>
        </w:r>
        <w:r>
          <w:rPr>
            <w:rStyle w:val="style17"/>
          </w:rPr>
          <w:t>Общие условия проведения предвыборной агитации на каналах организаций телерадиовещания и в периодических печатных изданиях</w:t>
        </w:r>
      </w:hyperlink>
      <w:r>
        <w:rPr/>
        <w:t xml:space="preserve"> </w:t>
      </w:r>
    </w:p>
    <w:p>
      <w:pPr>
        <w:pStyle w:val="style50"/>
        <w:rPr/>
      </w:pPr>
      <w:hyperlink w:anchor="Lbl48">
        <w:r>
          <w:rPr>
            <w:rStyle w:val="style18"/>
          </w:rPr>
          <w:t xml:space="preserve">Статья 48. </w:t>
        </w:r>
        <w:r>
          <w:rPr>
            <w:rStyle w:val="style17"/>
          </w:rPr>
          <w:t>Условия проведения предвыборной агитации на каналах организаций телерадиовещания</w:t>
        </w:r>
      </w:hyperlink>
      <w:r>
        <w:rPr/>
        <w:t xml:space="preserve"> </w:t>
      </w:r>
    </w:p>
    <w:p>
      <w:pPr>
        <w:pStyle w:val="style50"/>
        <w:rPr/>
      </w:pPr>
      <w:hyperlink w:anchor="Lbl49">
        <w:r>
          <w:rPr>
            <w:rStyle w:val="style18"/>
          </w:rPr>
          <w:t xml:space="preserve">Статья 49. </w:t>
        </w:r>
        <w:r>
          <w:rPr>
            <w:rStyle w:val="style17"/>
          </w:rPr>
          <w:t>Условия проведения предвыборной агитации в периодических печатных изданиях</w:t>
        </w:r>
      </w:hyperlink>
      <w:r>
        <w:rPr/>
        <w:t xml:space="preserve"> </w:t>
      </w:r>
    </w:p>
    <w:p>
      <w:pPr>
        <w:pStyle w:val="style50"/>
        <w:rPr/>
      </w:pPr>
      <w:hyperlink w:anchor="Lbl50">
        <w:r>
          <w:rPr>
            <w:rStyle w:val="style18"/>
          </w:rPr>
          <w:t xml:space="preserve">Статья 50. </w:t>
        </w:r>
        <w:r>
          <w:rPr>
            <w:rStyle w:val="style17"/>
          </w:rPr>
          <w:t>Условия проведения предвыборной агитации посредством агитационных публичных мероприятий</w:t>
        </w:r>
      </w:hyperlink>
      <w:r>
        <w:rPr/>
        <w:t xml:space="preserve"> </w:t>
      </w:r>
    </w:p>
    <w:p>
      <w:pPr>
        <w:pStyle w:val="style50"/>
        <w:rPr/>
      </w:pPr>
      <w:hyperlink w:anchor="Lbl51">
        <w:r>
          <w:rPr>
            <w:rStyle w:val="style18"/>
          </w:rPr>
          <w:t xml:space="preserve">Статья 51. </w:t>
        </w:r>
        <w:r>
          <w:rPr>
            <w:rStyle w:val="style17"/>
          </w:rPr>
          <w:t>Условия выпуска и распространения печатных, аудиовизуальных и иных предвыборных агитационных материалов</w:t>
        </w:r>
      </w:hyperlink>
      <w:r>
        <w:rPr/>
        <w:t xml:space="preserve"> </w:t>
      </w:r>
    </w:p>
    <w:p>
      <w:pPr>
        <w:sectPr>
          <w:type w:val="nextPage"/>
          <w:pgSz w:h="16838" w:w="11906"/>
          <w:pgMar w:bottom="850" w:footer="0" w:gutter="0" w:header="0" w:left="1247" w:right="1247" w:top="850"/>
          <w:pgNumType w:fmt="decimal"/>
          <w:formProt w:val="false"/>
          <w:textDirection w:val="lrTb"/>
        </w:sectPr>
        <w:pStyle w:val="style50"/>
        <w:rPr/>
      </w:pPr>
      <w:hyperlink w:anchor="Lbl52">
        <w:r>
          <w:rPr>
            <w:rStyle w:val="style18"/>
          </w:rPr>
          <w:t xml:space="preserve">Статья 52. </w:t>
        </w:r>
        <w:r>
          <w:rPr>
            <w:rStyle w:val="style17"/>
          </w:rPr>
          <w:t>Ограничения при проведении предвыборной агитации</w:t>
        </w:r>
      </w:hyperlink>
      <w:r>
        <w:rPr/>
        <w:t xml:space="preserve"> </w:t>
      </w:r>
    </w:p>
    <w:p>
      <w:pPr>
        <w:sectPr>
          <w:headerReference r:id="rId3" w:type="even"/>
          <w:headerReference r:id="rId4" w:type="default"/>
          <w:type w:val="nextPage"/>
          <w:pgSz w:h="16838" w:w="11906"/>
          <w:pgMar w:bottom="850" w:footer="0" w:gutter="0" w:header="850" w:left="1247" w:right="1247" w:top="1113"/>
          <w:pgNumType w:fmt="decimal"/>
          <w:formProt w:val="false"/>
          <w:textDirection w:val="lrTb"/>
        </w:sectPr>
        <w:pStyle w:val="style49"/>
        <w:rPr/>
      </w:pPr>
      <w:hyperlink w:anchor="Lbl800">
        <w:r>
          <w:rPr>
            <w:rStyle w:val="style18"/>
          </w:rPr>
          <w:t xml:space="preserve">Глава 8. </w:t>
        </w:r>
        <w:r>
          <w:rPr>
            <w:rStyle w:val="style17"/>
          </w:rPr>
          <w:t>Финансирование выборов депутатов представительного органа муниципального образования</w:t>
        </w:r>
      </w:hyperlink>
      <w:r>
        <w:rPr/>
        <w:t xml:space="preserve"> (ст.ст. 53−58) </w:t>
      </w:r>
    </w:p>
    <w:p>
      <w:pPr>
        <w:pStyle w:val="style50"/>
        <w:rPr/>
      </w:pPr>
      <w:hyperlink w:anchor="Lbl53">
        <w:r>
          <w:rPr>
            <w:rStyle w:val="style18"/>
          </w:rPr>
          <w:t xml:space="preserve">Статья 53. </w:t>
        </w:r>
        <w:r>
          <w:rPr>
            <w:rStyle w:val="style17"/>
          </w:rPr>
          <w:t>Финансовое обеспечение подготовки и проведения выборов депутатов представительного органа муниципального образования</w:t>
        </w:r>
      </w:hyperlink>
      <w:r>
        <w:rPr/>
        <w:t xml:space="preserve"> </w:t>
      </w:r>
    </w:p>
    <w:p>
      <w:pPr>
        <w:pStyle w:val="style50"/>
        <w:rPr/>
      </w:pPr>
      <w:hyperlink w:anchor="Lbl54">
        <w:r>
          <w:rPr>
            <w:rStyle w:val="style18"/>
          </w:rPr>
          <w:t xml:space="preserve">Статья 54. </w:t>
        </w:r>
        <w:r>
          <w:rPr>
            <w:rStyle w:val="style17"/>
          </w:rPr>
          <w:t>Финансовая отчетность избирательных комиссий</w:t>
        </w:r>
      </w:hyperlink>
      <w:r>
        <w:rPr/>
        <w:t xml:space="preserve"> </w:t>
      </w:r>
    </w:p>
    <w:p>
      <w:pPr>
        <w:pStyle w:val="style50"/>
        <w:rPr/>
      </w:pPr>
      <w:hyperlink w:anchor="Lbl55">
        <w:r>
          <w:rPr>
            <w:rStyle w:val="style18"/>
          </w:rPr>
          <w:t xml:space="preserve">Статья 55. </w:t>
        </w:r>
        <w:r>
          <w:rPr>
            <w:rStyle w:val="style17"/>
          </w:rPr>
          <w:t>Порядок создания избирательных фондов кандидатов, избирательных объединений</w:t>
        </w:r>
      </w:hyperlink>
      <w:r>
        <w:rPr/>
        <w:t xml:space="preserve"> </w:t>
      </w:r>
    </w:p>
    <w:p>
      <w:pPr>
        <w:pStyle w:val="style50"/>
        <w:rPr/>
      </w:pPr>
      <w:hyperlink w:anchor="Lbl56">
        <w:r>
          <w:rPr>
            <w:rStyle w:val="style18"/>
          </w:rPr>
          <w:t xml:space="preserve">Статья 56. </w:t>
        </w:r>
        <w:r>
          <w:rPr>
            <w:rStyle w:val="style17"/>
          </w:rPr>
          <w:t>Порядок расходования средств избирательных фондов</w:t>
        </w:r>
      </w:hyperlink>
      <w:r>
        <w:rPr/>
        <w:t xml:space="preserve"> </w:t>
      </w:r>
    </w:p>
    <w:p>
      <w:pPr>
        <w:pStyle w:val="style50"/>
        <w:rPr/>
      </w:pPr>
      <w:hyperlink w:anchor="Lbl57">
        <w:r>
          <w:rPr>
            <w:rStyle w:val="style18"/>
          </w:rPr>
          <w:t xml:space="preserve">Статья 57. </w:t>
        </w:r>
        <w:r>
          <w:rPr>
            <w:rStyle w:val="style17"/>
          </w:rPr>
          <w:t>Финансовые отчеты кандидатов, избирательных объединений</w:t>
        </w:r>
      </w:hyperlink>
      <w:r>
        <w:rPr/>
        <w:t xml:space="preserve"> </w:t>
      </w:r>
    </w:p>
    <w:p>
      <w:pPr>
        <w:pStyle w:val="style50"/>
        <w:rPr/>
      </w:pPr>
      <w:hyperlink w:anchor="Lbl58">
        <w:r>
          <w:rPr>
            <w:rStyle w:val="style18"/>
          </w:rPr>
          <w:t xml:space="preserve">Статья 58. </w:t>
        </w:r>
        <w:r>
          <w:rPr>
            <w:rStyle w:val="style17"/>
          </w:rPr>
          <w:t>Контрольно-ревизионная служба при избирательных комиссиях</w:t>
        </w:r>
      </w:hyperlink>
      <w:r>
        <w:rPr/>
        <w:t xml:space="preserve"> </w:t>
      </w:r>
    </w:p>
    <w:p>
      <w:pPr>
        <w:pStyle w:val="style49"/>
        <w:rPr/>
      </w:pPr>
      <w:hyperlink w:anchor="Lbl900">
        <w:r>
          <w:rPr>
            <w:rStyle w:val="style18"/>
          </w:rPr>
          <w:t xml:space="preserve">Глава 9. </w:t>
        </w:r>
        <w:r>
          <w:rPr>
            <w:rStyle w:val="style17"/>
          </w:rPr>
          <w:t>Голосование, подсчет голосов избирателей, определение результатов выборов депутатов представительного органа муниципального образования</w:t>
        </w:r>
      </w:hyperlink>
      <w:r>
        <w:rPr/>
        <w:t xml:space="preserve"> (ст.ст. 59−74) </w:t>
      </w:r>
    </w:p>
    <w:p>
      <w:pPr>
        <w:pStyle w:val="style50"/>
        <w:rPr/>
      </w:pPr>
      <w:hyperlink w:anchor="Lbl59">
        <w:r>
          <w:rPr>
            <w:rStyle w:val="style18"/>
          </w:rPr>
          <w:t xml:space="preserve">Статья 59. </w:t>
        </w:r>
        <w:r>
          <w:rPr>
            <w:rStyle w:val="style17"/>
          </w:rPr>
          <w:t>Помещение для голосования</w:t>
        </w:r>
      </w:hyperlink>
      <w:r>
        <w:rPr/>
        <w:t xml:space="preserve"> </w:t>
      </w:r>
    </w:p>
    <w:p>
      <w:pPr>
        <w:pStyle w:val="style50"/>
        <w:rPr/>
      </w:pPr>
      <w:hyperlink w:anchor="Lbl60">
        <w:r>
          <w:rPr>
            <w:rStyle w:val="style18"/>
          </w:rPr>
          <w:t xml:space="preserve">Статья 60. </w:t>
        </w:r>
        <w:r>
          <w:rPr>
            <w:rStyle w:val="style17"/>
          </w:rPr>
          <w:t>Избирательные бюллетени</w:t>
        </w:r>
      </w:hyperlink>
      <w:r>
        <w:rPr/>
        <w:t xml:space="preserve"> </w:t>
      </w:r>
    </w:p>
    <w:p>
      <w:pPr>
        <w:pStyle w:val="style50"/>
        <w:rPr/>
      </w:pPr>
      <w:hyperlink w:anchor="Lbl61">
        <w:r>
          <w:rPr>
            <w:rStyle w:val="style18"/>
          </w:rPr>
          <w:t xml:space="preserve">Статья 61. </w:t>
        </w:r>
        <w:r>
          <w:rPr>
            <w:rStyle w:val="style17"/>
          </w:rPr>
          <w:t>Порядок голосования</w:t>
        </w:r>
      </w:hyperlink>
      <w:r>
        <w:rPr/>
        <w:t xml:space="preserve"> </w:t>
      </w:r>
    </w:p>
    <w:p>
      <w:pPr>
        <w:pStyle w:val="style50"/>
        <w:rPr/>
      </w:pPr>
      <w:hyperlink w:anchor="Lbl62">
        <w:r>
          <w:rPr>
            <w:rStyle w:val="style18"/>
          </w:rPr>
          <w:t xml:space="preserve">Статья 62. </w:t>
        </w:r>
        <w:r>
          <w:rPr>
            <w:rStyle w:val="style17"/>
          </w:rPr>
          <w:t>Порядок голосования избирателей вне помещения для голосования</w:t>
        </w:r>
      </w:hyperlink>
      <w:r>
        <w:rPr/>
        <w:t xml:space="preserve"> </w:t>
      </w:r>
    </w:p>
    <w:p>
      <w:pPr>
        <w:pStyle w:val="style50"/>
        <w:rPr/>
      </w:pPr>
      <w:hyperlink w:anchor="Lbl63">
        <w:r>
          <w:rPr>
            <w:rStyle w:val="style18"/>
          </w:rPr>
          <w:t xml:space="preserve">Статья 63. </w:t>
        </w:r>
        <w:r>
          <w:rPr>
            <w:rStyle w:val="style17"/>
          </w:rPr>
          <w:t>Протокол (протоколы) участковой избирательной комиссии об итогах голосования</w:t>
        </w:r>
      </w:hyperlink>
      <w:r>
        <w:rPr/>
        <w:t xml:space="preserve"> </w:t>
      </w:r>
    </w:p>
    <w:p>
      <w:pPr>
        <w:pStyle w:val="style50"/>
        <w:rPr/>
      </w:pPr>
      <w:hyperlink w:anchor="Lbl64">
        <w:r>
          <w:rPr>
            <w:rStyle w:val="style18"/>
          </w:rPr>
          <w:t xml:space="preserve">Статья 64. </w:t>
        </w:r>
        <w:r>
          <w:rPr>
            <w:rStyle w:val="style17"/>
          </w:rPr>
          <w:t>Порядок подсчета голосов избирателей и составления протоколов участковой избирательной комиссией об итогах голосования</w:t>
        </w:r>
      </w:hyperlink>
      <w:r>
        <w:rPr/>
        <w:t xml:space="preserve"> </w:t>
      </w:r>
    </w:p>
    <w:p>
      <w:pPr>
        <w:pStyle w:val="style50"/>
        <w:rPr/>
      </w:pPr>
      <w:hyperlink w:anchor="Lbl65">
        <w:r>
          <w:rPr>
            <w:rStyle w:val="style18"/>
          </w:rPr>
          <w:t xml:space="preserve">Статья 65. </w:t>
        </w:r>
        <w:r>
          <w:rPr>
            <w:rStyle w:val="style17"/>
          </w:rPr>
          <w:t>Определение результатов выборов по одномандатному (многомандатному) избирательному округу и установление итогов голосования по единому избирательному округу</w:t>
        </w:r>
      </w:hyperlink>
      <w:r>
        <w:rPr/>
        <w:t xml:space="preserve"> </w:t>
      </w:r>
    </w:p>
    <w:p>
      <w:pPr>
        <w:pStyle w:val="style50"/>
        <w:rPr/>
      </w:pPr>
      <w:hyperlink w:anchor="Lbl66">
        <w:r>
          <w:rPr>
            <w:rStyle w:val="style18"/>
          </w:rPr>
          <w:t xml:space="preserve">Статья 66. </w:t>
        </w:r>
        <w:r>
          <w:rPr>
            <w:rStyle w:val="style17"/>
          </w:rPr>
          <w:t>Определение результатов выборов по единому избирательному округу</w:t>
        </w:r>
      </w:hyperlink>
      <w:r>
        <w:rPr/>
        <w:t xml:space="preserve"> </w:t>
      </w:r>
    </w:p>
    <w:p>
      <w:pPr>
        <w:pStyle w:val="style50"/>
        <w:rPr/>
      </w:pPr>
      <w:hyperlink w:anchor="Lbl67">
        <w:r>
          <w:rPr>
            <w:rStyle w:val="style18"/>
          </w:rPr>
          <w:t xml:space="preserve">Статья 67. </w:t>
        </w:r>
        <w:r>
          <w:rPr>
            <w:rStyle w:val="style17"/>
          </w:rPr>
          <w:t>Установление общих результатов выборов</w:t>
        </w:r>
      </w:hyperlink>
      <w:r>
        <w:rPr/>
        <w:t xml:space="preserve"> </w:t>
      </w:r>
    </w:p>
    <w:p>
      <w:pPr>
        <w:pStyle w:val="style50"/>
        <w:rPr/>
      </w:pPr>
      <w:hyperlink w:anchor="Lbl68">
        <w:r>
          <w:rPr>
            <w:rStyle w:val="style18"/>
          </w:rPr>
          <w:t xml:space="preserve">Статья 68. </w:t>
        </w:r>
        <w:r>
          <w:rPr>
            <w:rStyle w:val="style17"/>
          </w:rPr>
          <w:t>Методика пропорционального распределения депутатских мандатов</w:t>
        </w:r>
      </w:hyperlink>
      <w:r>
        <w:rPr/>
        <w:t xml:space="preserve"> </w:t>
      </w:r>
    </w:p>
    <w:p>
      <w:pPr>
        <w:pStyle w:val="style50"/>
        <w:rPr/>
      </w:pPr>
      <w:hyperlink w:anchor="Lbl69">
        <w:r>
          <w:rPr>
            <w:rStyle w:val="style18"/>
          </w:rPr>
          <w:t xml:space="preserve">Статья 69. </w:t>
        </w:r>
        <w:r>
          <w:rPr>
            <w:rStyle w:val="style17"/>
          </w:rPr>
          <w:t>Регистрация избранных депутатов представительного органа муниципального образования</w:t>
        </w:r>
      </w:hyperlink>
      <w:r>
        <w:rPr/>
        <w:t xml:space="preserve"> </w:t>
      </w:r>
    </w:p>
    <w:p>
      <w:pPr>
        <w:pStyle w:val="style50"/>
        <w:rPr/>
      </w:pPr>
      <w:hyperlink w:anchor="Lbl70">
        <w:r>
          <w:rPr>
            <w:rStyle w:val="style18"/>
          </w:rPr>
          <w:t xml:space="preserve">Статья 70. </w:t>
        </w:r>
        <w:r>
          <w:rPr>
            <w:rStyle w:val="style17"/>
          </w:rPr>
          <w:t>Повторные выборы. Дополнительные выборы</w:t>
        </w:r>
      </w:hyperlink>
      <w:r>
        <w:rPr/>
        <w:t xml:space="preserve"> </w:t>
      </w:r>
    </w:p>
    <w:p>
      <w:pPr>
        <w:pStyle w:val="style50"/>
        <w:rPr/>
      </w:pPr>
      <w:hyperlink w:anchor="Lbl71">
        <w:r>
          <w:rPr>
            <w:rStyle w:val="style18"/>
          </w:rPr>
          <w:t xml:space="preserve">Статья 71. </w:t>
        </w:r>
        <w:r>
          <w:rPr>
            <w:rStyle w:val="style17"/>
          </w:rPr>
          <w:t>Замещение вакантного депутатского мандата по единому избирательному округу, исключение зарегистрированного кандидата из списка кандидатов, допущенного к распределению депутатских мандатов</w:t>
        </w:r>
      </w:hyperlink>
      <w:r>
        <w:rPr/>
        <w:t xml:space="preserve"> </w:t>
      </w:r>
    </w:p>
    <w:p>
      <w:pPr>
        <w:pStyle w:val="style50"/>
        <w:rPr/>
      </w:pPr>
      <w:hyperlink w:anchor="Lbl72">
        <w:r>
          <w:rPr>
            <w:rStyle w:val="style18"/>
          </w:rPr>
          <w:t xml:space="preserve">Статья 72. </w:t>
        </w:r>
        <w:r>
          <w:rPr>
            <w:rStyle w:val="style17"/>
          </w:rPr>
          <w:t>Опубликование и обнародование итогов голосования и результатов выборов депутатов представительного органа муниципального образования</w:t>
        </w:r>
      </w:hyperlink>
      <w:r>
        <w:rPr/>
        <w:t xml:space="preserve"> </w:t>
      </w:r>
    </w:p>
    <w:p>
      <w:pPr>
        <w:pStyle w:val="style50"/>
        <w:rPr/>
      </w:pPr>
      <w:hyperlink w:anchor="Lbl73">
        <w:r>
          <w:rPr>
            <w:rStyle w:val="style18"/>
          </w:rPr>
          <w:t xml:space="preserve">Статья 73. </w:t>
        </w:r>
        <w:r>
          <w:rPr>
            <w:rStyle w:val="style17"/>
          </w:rPr>
          <w:t>Хранение, передача в архивы и уничтожение избирательной документации</w:t>
        </w:r>
      </w:hyperlink>
      <w:r>
        <w:rPr/>
        <w:t xml:space="preserve"> </w:t>
      </w:r>
    </w:p>
    <w:p>
      <w:pPr>
        <w:pStyle w:val="style50"/>
        <w:rPr/>
      </w:pPr>
      <w:hyperlink w:anchor="Lbl74">
        <w:r>
          <w:rPr>
            <w:rStyle w:val="style18"/>
          </w:rPr>
          <w:t xml:space="preserve">Статья 74. </w:t>
        </w:r>
        <w:r>
          <w:rPr>
            <w:rStyle w:val="style17"/>
          </w:rPr>
          <w:t>Использование ГАС «Выборы» при проведении выборов депутатов представительного органа муниципального образования</w:t>
        </w:r>
      </w:hyperlink>
      <w:r>
        <w:rPr/>
        <w:t xml:space="preserve"> </w:t>
      </w:r>
    </w:p>
    <w:p>
      <w:pPr>
        <w:pStyle w:val="style49"/>
        <w:rPr/>
      </w:pPr>
      <w:hyperlink w:anchor="Lbl110">
        <w:r>
          <w:rPr>
            <w:rStyle w:val="style18"/>
          </w:rPr>
          <w:t xml:space="preserve">Глава 10. </w:t>
        </w:r>
        <w:r>
          <w:rPr>
            <w:rStyle w:val="style17"/>
          </w:rPr>
          <w:t>Обжалование нарушений избирательных прав граждан и ответственность за нарушения законодательства о выборах депутатов представительного органа муниципального образования</w:t>
        </w:r>
      </w:hyperlink>
      <w:r>
        <w:rPr/>
        <w:t xml:space="preserve"> (ст.ст. 75−79) </w:t>
      </w:r>
    </w:p>
    <w:p>
      <w:pPr>
        <w:pStyle w:val="style50"/>
        <w:rPr/>
      </w:pPr>
      <w:hyperlink w:anchor="Lbl75">
        <w:r>
          <w:rPr>
            <w:rStyle w:val="style18"/>
          </w:rPr>
          <w:t xml:space="preserve">Статья 75. </w:t>
        </w:r>
        <w:r>
          <w:rPr>
            <w:rStyle w:val="style17"/>
          </w:rPr>
          <w:t>Обжалование решений и действий (бездействия), нарушающих избирательные права граждан Российской Федерации</w:t>
        </w:r>
      </w:hyperlink>
      <w:r>
        <w:rPr/>
        <w:t xml:space="preserve"> </w:t>
      </w:r>
    </w:p>
    <w:p>
      <w:pPr>
        <w:pStyle w:val="style50"/>
        <w:rPr/>
      </w:pPr>
      <w:hyperlink w:anchor="Lbl76">
        <w:r>
          <w:rPr>
            <w:rStyle w:val="style18"/>
          </w:rPr>
          <w:t xml:space="preserve">Статья 76. </w:t>
        </w:r>
        <w:r>
          <w:rPr>
            <w:rStyle w:val="style17"/>
          </w:rPr>
          <w:t>Основания аннулирования регистрации кандидата (списка кандидатов), отмены решения избирательной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w:t>
        </w:r>
      </w:hyperlink>
      <w:r>
        <w:rPr/>
        <w:t xml:space="preserve"> </w:t>
      </w:r>
    </w:p>
    <w:p>
      <w:pPr>
        <w:pStyle w:val="style50"/>
        <w:rPr/>
      </w:pPr>
      <w:hyperlink w:anchor="Lbl77">
        <w:r>
          <w:rPr>
            <w:rStyle w:val="style18"/>
          </w:rPr>
          <w:t xml:space="preserve">Статья 77. </w:t>
        </w:r>
        <w:r>
          <w:rPr>
            <w:rStyle w:val="style17"/>
          </w:rPr>
          <w:t>Отмена решения избирательной комиссии об итогах голосования, о результатах выборов депутатов представительного органа муниципального образования</w:t>
        </w:r>
      </w:hyperlink>
      <w:r>
        <w:rPr/>
        <w:t xml:space="preserve"> </w:t>
      </w:r>
    </w:p>
    <w:p>
      <w:pPr>
        <w:pStyle w:val="style50"/>
        <w:rPr/>
      </w:pPr>
      <w:hyperlink w:anchor="Lbl78">
        <w:r>
          <w:rPr>
            <w:rStyle w:val="style18"/>
          </w:rPr>
          <w:t xml:space="preserve">Статья 78. </w:t>
        </w:r>
        <w:r>
          <w:rPr>
            <w:rStyle w:val="style17"/>
          </w:rPr>
          <w:t>Сроки подачи и рассмотрения жалоб и заявлений</w:t>
        </w:r>
      </w:hyperlink>
      <w:r>
        <w:rPr/>
        <w:t xml:space="preserve"> </w:t>
      </w:r>
    </w:p>
    <w:p>
      <w:pPr>
        <w:pStyle w:val="style50"/>
        <w:rPr/>
      </w:pPr>
      <w:hyperlink w:anchor="Lbl79">
        <w:r>
          <w:rPr>
            <w:rStyle w:val="style18"/>
          </w:rPr>
          <w:t xml:space="preserve">Статья 79. </w:t>
        </w:r>
        <w:r>
          <w:rPr>
            <w:rStyle w:val="style17"/>
          </w:rPr>
          <w:t>Ответственность за нарушение законодательства о выборах депутатов представительного органа муниципального образования</w:t>
        </w:r>
      </w:hyperlink>
      <w:r>
        <w:rPr/>
        <w:t xml:space="preserve"> </w:t>
      </w:r>
    </w:p>
    <w:p>
      <w:pPr>
        <w:pStyle w:val="style49"/>
        <w:rPr/>
      </w:pPr>
      <w:hyperlink w:anchor="Lbl111">
        <w:r>
          <w:rPr>
            <w:rStyle w:val="style18"/>
          </w:rPr>
          <w:t xml:space="preserve">Глава 11. </w:t>
        </w:r>
        <w:r>
          <w:rPr>
            <w:rStyle w:val="style17"/>
          </w:rPr>
          <w:t>Заключительные положения</w:t>
        </w:r>
      </w:hyperlink>
      <w:r>
        <w:rPr/>
        <w:t xml:space="preserve"> (ст.ст. 80−81) </w:t>
      </w:r>
    </w:p>
    <w:p>
      <w:pPr>
        <w:pStyle w:val="style50"/>
        <w:rPr/>
      </w:pPr>
      <w:hyperlink w:anchor="Lbl80">
        <w:r>
          <w:rPr>
            <w:rStyle w:val="style18"/>
          </w:rPr>
          <w:t xml:space="preserve">Статья 80. </w:t>
        </w:r>
        <w:r>
          <w:rPr>
            <w:rStyle w:val="style17"/>
          </w:rPr>
          <w:t>О признании утратившими силу отдельных законодательных актов (положений законодательных актов) Рязанской области</w:t>
        </w:r>
      </w:hyperlink>
      <w:r>
        <w:rPr/>
        <w:t xml:space="preserve"> </w:t>
      </w:r>
    </w:p>
    <w:p>
      <w:pPr>
        <w:pStyle w:val="style50"/>
        <w:rPr/>
      </w:pPr>
      <w:hyperlink w:anchor="Lbl81">
        <w:r>
          <w:rPr>
            <w:rStyle w:val="style18"/>
          </w:rPr>
          <w:t xml:space="preserve">Статья 81. </w:t>
        </w:r>
        <w:r>
          <w:rPr>
            <w:rStyle w:val="style17"/>
          </w:rPr>
          <w:t>Вступление настоящего Закона в силу</w:t>
        </w:r>
      </w:hyperlink>
      <w:r>
        <w:rPr/>
        <w:t xml:space="preserve"> </w:t>
      </w:r>
    </w:p>
    <w:p>
      <w:pPr>
        <w:pStyle w:val="style49"/>
        <w:rPr/>
      </w:pPr>
      <w:hyperlink w:anchor="Lbl1000">
        <w:r>
          <w:rPr>
            <w:rStyle w:val="style18"/>
          </w:rPr>
          <w:t xml:space="preserve">Приложение 1. </w:t>
        </w:r>
        <w:r>
          <w:rPr>
            <w:rStyle w:val="style17"/>
          </w:rPr>
          <w:t>Подписной лист</w:t>
        </w:r>
      </w:hyperlink>
      <w:r>
        <w:rPr/>
        <w:t xml:space="preserve"> </w:t>
      </w:r>
    </w:p>
    <w:p>
      <w:pPr>
        <w:pStyle w:val="style49"/>
        <w:rPr/>
      </w:pPr>
      <w:hyperlink w:anchor="Lbl2000">
        <w:r>
          <w:rPr>
            <w:rStyle w:val="style18"/>
          </w:rPr>
          <w:t xml:space="preserve">Приложение 2. </w:t>
        </w:r>
        <w:r>
          <w:rPr>
            <w:rStyle w:val="style17"/>
          </w:rPr>
          <w:t>Подписной лист (утратило силу)</w:t>
        </w:r>
      </w:hyperlink>
      <w:r>
        <w:rPr/>
        <w:t xml:space="preserve"> </w:t>
      </w:r>
    </w:p>
    <w:p>
      <w:pPr>
        <w:pStyle w:val="style49"/>
        <w:rPr/>
      </w:pPr>
      <w:hyperlink w:anchor="Lbl3000">
        <w:r>
          <w:rPr>
            <w:rStyle w:val="style18"/>
          </w:rPr>
          <w:t xml:space="preserve">Приложение 3. </w:t>
        </w:r>
        <w:r>
          <w:rPr>
            <w:rStyle w:val="style17"/>
          </w:rPr>
          <w:t>Подписной лист (утратило силу)</w:t>
        </w:r>
      </w:hyperlink>
      <w:r>
        <w:rPr/>
        <w:t xml:space="preserve"> </w:t>
      </w:r>
    </w:p>
    <w:p>
      <w:pPr>
        <w:pStyle w:val="style49"/>
        <w:rPr/>
      </w:pPr>
      <w:hyperlink w:anchor="Lbl4000">
        <w:r>
          <w:rPr>
            <w:rStyle w:val="style18"/>
          </w:rPr>
          <w:t xml:space="preserve">Приложение 4. </w:t>
        </w:r>
        <w:r>
          <w:rPr>
            <w:rStyle w:val="style17"/>
          </w:rPr>
          <w:t>Сведения о размере и об источниках доходов, имуществе, принадлежащем кандидату на праве собственности, о вкладах в банках, ценных бумагах</w:t>
        </w:r>
      </w:hyperlink>
      <w:r>
        <w:rPr/>
        <w:t xml:space="preserve"> </w:t>
      </w:r>
    </w:p>
    <w:p>
      <w:pPr>
        <w:pStyle w:val="style49"/>
        <w:rPr/>
      </w:pPr>
      <w:hyperlink w:anchor="Lbl5000">
        <w:r>
          <w:rPr>
            <w:rStyle w:val="style18"/>
          </w:rPr>
          <w:t xml:space="preserve">Приложение 5. </w:t>
        </w:r>
        <w:r>
          <w:rPr>
            <w:rStyle w:val="style17"/>
          </w:rPr>
          <w:t>Контрольные соотношения данных, внесенных в протокол об итогах голосования</w:t>
        </w:r>
      </w:hyperlink>
      <w:bookmarkStart w:id="0" w:name="Lbl100"/>
      <w:bookmarkEnd w:id="0"/>
      <w:r>
        <w:rPr/>
        <w:t xml:space="preserve"> </w:t>
      </w:r>
    </w:p>
    <w:p>
      <w:pPr>
        <w:pStyle w:val="style47"/>
        <w:rPr/>
      </w:pPr>
      <w:r>
        <w:rPr/>
        <w:t>Справочник наблюдателя — www.nablawiki.ru</w:t>
      </w:r>
    </w:p>
    <w:p>
      <w:pPr>
        <w:pStyle w:val="style2"/>
        <w:rPr/>
      </w:pPr>
      <w:r>
        <w:rPr/>
        <w:t>Глава 1. Общие положения</w:t>
      </w:r>
    </w:p>
    <w:p>
      <w:pPr>
        <w:pStyle w:val="style47"/>
        <w:rPr/>
      </w:pPr>
      <w:bookmarkStart w:id="1" w:name="Lbl1"/>
      <w:bookmarkEnd w:id="1"/>
      <w:r>
        <w:rPr/>
        <w:t>Статья 1</w:t>
      </w:r>
    </w:p>
    <w:p>
      <w:pPr>
        <w:pStyle w:val="style46"/>
        <w:rPr/>
      </w:pPr>
      <w:r>
        <w:rPr>
          <w:rStyle w:val="style18"/>
        </w:rPr>
        <w:t>Статья 1</w:t>
      </w:r>
      <w:r>
        <w:rPr/>
        <w:t>. Предмет регулирования и пределы действия настоящего Закона</w:t>
      </w:r>
    </w:p>
    <w:p>
      <w:pPr>
        <w:pStyle w:val="style22"/>
        <w:rPr/>
      </w:pPr>
      <w:bookmarkStart w:id="2" w:name="Lbl101"/>
      <w:bookmarkEnd w:id="2"/>
      <w:r>
        <w:rPr>
          <w:rStyle w:val="style18"/>
        </w:rPr>
        <w:t>1.</w:t>
      </w:r>
      <w:r>
        <w:rPr/>
        <w:t xml:space="preserve"> Настоящий Закон устанавливает порядок назначения, подготовки и проведения выборов депутатов представительного органа муниципального образования в Рязанской области и определяет гарантии реализации гражданами Российской Федерации их права на участие в выборах депутатов представительного органа муниципального образования в Рязанской области.</w:t>
      </w:r>
    </w:p>
    <w:p>
      <w:pPr>
        <w:pStyle w:val="style22"/>
        <w:rPr/>
      </w:pPr>
      <w:bookmarkStart w:id="3" w:name="Lbl102"/>
      <w:bookmarkEnd w:id="3"/>
      <w:r>
        <w:rPr>
          <w:rStyle w:val="style18"/>
        </w:rPr>
        <w:t>2.</w:t>
      </w:r>
      <w:r>
        <w:rPr/>
        <w:t xml:space="preserve"> Положения уставов муниципальных образований, связанные с порядком подготовки и проведения выборов депутатов представительного органа муниципального образования, не должны противоречить настоящему Закону. В случае, если указанные положения противоречат настоящему Закону, применяются нормы настоящего Закона.</w:t>
      </w:r>
    </w:p>
    <w:p>
      <w:pPr>
        <w:pStyle w:val="style47"/>
        <w:rPr/>
      </w:pPr>
      <w:bookmarkStart w:id="4" w:name="Lbl2"/>
      <w:bookmarkEnd w:id="4"/>
      <w:r>
        <w:rPr/>
        <w:t>Статья 2</w:t>
      </w:r>
    </w:p>
    <w:p>
      <w:pPr>
        <w:pStyle w:val="style46"/>
        <w:rPr/>
      </w:pPr>
      <w:r>
        <w:rPr>
          <w:rStyle w:val="style18"/>
        </w:rPr>
        <w:t>Статья 2.</w:t>
      </w:r>
      <w:r>
        <w:rPr/>
        <w:t xml:space="preserve"> Основные принципы проведения выборов депутатов представительного органа муниципального образования</w:t>
      </w:r>
    </w:p>
    <w:p>
      <w:pPr>
        <w:pStyle w:val="style22"/>
        <w:rPr/>
      </w:pPr>
      <w:r>
        <w:rPr/>
        <w:t>Депутаты представительного органа муниципального образования избираются гражданами Российской Федерации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pPr>
        <w:pStyle w:val="style47"/>
        <w:rPr/>
      </w:pPr>
      <w:bookmarkStart w:id="5" w:name="Lbl3"/>
      <w:bookmarkEnd w:id="5"/>
      <w:r>
        <w:rPr/>
        <w:t>Статья 3</w:t>
      </w:r>
    </w:p>
    <w:p>
      <w:pPr>
        <w:pStyle w:val="style46"/>
        <w:rPr/>
      </w:pPr>
      <w:r>
        <w:rPr>
          <w:rStyle w:val="style18"/>
        </w:rPr>
        <w:t>Статья 3.</w:t>
      </w:r>
      <w:r>
        <w:rPr/>
        <w:t xml:space="preserve"> Законодательство о выборах депутатов представительного органа муниципального образования</w:t>
      </w:r>
    </w:p>
    <w:p>
      <w:pPr>
        <w:pStyle w:val="style22"/>
        <w:rPr/>
      </w:pPr>
      <w:bookmarkStart w:id="6" w:name="Lbl301"/>
      <w:bookmarkEnd w:id="6"/>
      <w:r>
        <w:rPr>
          <w:rStyle w:val="style18"/>
        </w:rPr>
        <w:t>1.</w:t>
      </w:r>
      <w:r>
        <w:rPr/>
        <w:t xml:space="preserve"> Законодательство о выборах депутатов представительного органа муниципального образования составляют Конституция Российской Федерации, Федеральный закон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Федеральный закон от 6 октября 2003 года № 131-ФЗ «Об общих принципах организации местного самоуправления в Российской Федерации», иные федеральные законы, настоящий Закон, иные нормативные правовые акты о выборах, принимаемые в Рязанской области, а также уставы соответствующих муниципальных образований.</w:t>
      </w:r>
    </w:p>
    <w:p>
      <w:pPr>
        <w:pStyle w:val="style22"/>
        <w:rPr/>
      </w:pPr>
      <w:bookmarkStart w:id="7" w:name="Lbl302"/>
      <w:bookmarkEnd w:id="7"/>
      <w:r>
        <w:rPr>
          <w:rStyle w:val="style18"/>
        </w:rPr>
        <w:t>2.</w:t>
      </w:r>
      <w:r>
        <w:rPr/>
        <w:t xml:space="preserve"> Основные понятия и термины, используемые в настоящем Законе, применяются в том же значении, что и в Федеральном законе «Об основных гарантиях избирательных прав и права на участие в референдуме граждан Российской Федерации».</w:t>
      </w:r>
    </w:p>
    <w:p>
      <w:pPr>
        <w:pStyle w:val="style22"/>
        <w:rPr/>
      </w:pPr>
      <w:bookmarkStart w:id="8" w:name="Lbl303"/>
      <w:bookmarkEnd w:id="8"/>
      <w:r>
        <w:rPr>
          <w:rStyle w:val="style18"/>
        </w:rPr>
        <w:t>3.</w:t>
      </w:r>
      <w:r>
        <w:rPr/>
        <w:t xml:space="preserve"> В случае принятия в период избирательной кампании закона Рязанской области, содержащего положения, которыми определяется порядок подготовки и проведения выборов депутатов представительного органа муниципального образования, а также устава муниципального образования, либо в случае внесения в этот период в закон Рязанской области, в устав муниципального образования изменений, касающихся порядка подготовки и проведения выборов, указанные нормативные правовые акты и изменения применяются к выборам, назначенным после вступления их в силу.</w:t>
      </w:r>
    </w:p>
    <w:p>
      <w:pPr>
        <w:pStyle w:val="style47"/>
        <w:rPr/>
      </w:pPr>
      <w:bookmarkStart w:id="9" w:name="Lbl4"/>
      <w:bookmarkEnd w:id="9"/>
      <w:r>
        <w:rPr/>
        <w:t>Статья 4</w:t>
      </w:r>
    </w:p>
    <w:p>
      <w:pPr>
        <w:pStyle w:val="style46"/>
        <w:rPr/>
      </w:pPr>
      <w:r>
        <w:rPr>
          <w:rStyle w:val="style18"/>
        </w:rPr>
        <w:t>Статья 4</w:t>
      </w:r>
      <w:r>
        <w:rPr/>
        <w:t>. Обязательность проведения выборов</w:t>
      </w:r>
    </w:p>
    <w:p>
      <w:pPr>
        <w:pStyle w:val="style22"/>
        <w:rPr/>
      </w:pPr>
      <w:r>
        <w:rPr/>
        <w:t>Выборы депутатов представительного органа муниципального образования являются обязательными, периодическими и проводятся в сроки, обеспечивающие соблюдение сроков полномочий депутатов представительного органа муниципального образования.</w:t>
      </w:r>
    </w:p>
    <w:p>
      <w:pPr>
        <w:pStyle w:val="style47"/>
        <w:rPr/>
      </w:pPr>
      <w:bookmarkStart w:id="10" w:name="Lbl5"/>
      <w:bookmarkEnd w:id="10"/>
      <w:r>
        <w:rPr/>
        <w:t>Статья 5</w:t>
      </w:r>
    </w:p>
    <w:p>
      <w:pPr>
        <w:pStyle w:val="style46"/>
        <w:rPr/>
      </w:pPr>
      <w:r>
        <w:rPr>
          <w:rStyle w:val="style18"/>
        </w:rPr>
        <w:t>Статья 5</w:t>
      </w:r>
      <w:r>
        <w:rPr/>
        <w:t>. Избирательные права гражданина Российской Федерации на выборах депутатов представительного органа муниципального образования</w:t>
      </w:r>
    </w:p>
    <w:p>
      <w:pPr>
        <w:pStyle w:val="style22"/>
        <w:rPr/>
      </w:pPr>
      <w:bookmarkStart w:id="11" w:name="Lbl501"/>
      <w:bookmarkEnd w:id="11"/>
      <w:r>
        <w:rPr>
          <w:rStyle w:val="style18"/>
        </w:rPr>
        <w:t>1.</w:t>
      </w:r>
      <w:r>
        <w:rPr/>
        <w:t xml:space="preserve"> Гражданин Российской Федерации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других обстоятельств.</w:t>
      </w:r>
    </w:p>
    <w:p>
      <w:pPr>
        <w:pStyle w:val="style41"/>
        <w:rPr/>
      </w:pPr>
      <w:bookmarkStart w:id="12" w:name="Lbl502"/>
      <w:bookmarkEnd w:id="12"/>
      <w:r>
        <w:rPr/>
        <w:t>Законом Рязанской области от 14 мая 2013 г. № 24-ОЗ в часть 2 статьи 5 главы 1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2.</w:t>
      </w:r>
      <w:r>
        <w:rPr/>
        <w:t xml:space="preserve"> Гражданин Российской Федерации, достигший на день голосования возраста 18 лет и место жительства которого расположено в пределах избирательного округа, вправе избирать депутатов представительного органа муниципального образования, участвовать в предусмотренных настоящим Законом и проводимых законными методами иных избирательных действиях.</w:t>
      </w:r>
    </w:p>
    <w:p>
      <w:pPr>
        <w:pStyle w:val="style22"/>
        <w:rPr/>
      </w:pPr>
      <w:bookmarkStart w:id="13" w:name="Lbl5021"/>
      <w:bookmarkEnd w:id="13"/>
      <w:r>
        <w:rPr/>
        <w:t>Активным избирательным правом обладает также гражданин, обучающийся в федеральной государственной образовательной организации (учреждении), осуществляющей образовательную деятельность в целях подготовки кадров в интересах обороны и безопасности государства, обеспечения законности и правопорядка, находящейся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по выработке и реализации государственной политики и нормативно-правовому регулированию в сфере внутренних дел,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 (далее — образовательная организация (учреждение)), проходящий обучение по очной форме и зарегистрированный по месту пребывания в пределах соответствующего избирательного округа в общежитии (по месту нахождения образовательной организации (учреждения)).</w:t>
      </w:r>
    </w:p>
    <w:p>
      <w:pPr>
        <w:pStyle w:val="style22"/>
        <w:rPr/>
      </w:pPr>
      <w:bookmarkStart w:id="14" w:name="Lbl503"/>
      <w:bookmarkEnd w:id="14"/>
      <w:r>
        <w:rPr>
          <w:rStyle w:val="style18"/>
        </w:rPr>
        <w:t>3.</w:t>
      </w:r>
      <w:r>
        <w:rPr/>
        <w:t xml:space="preserve"> Депутатом представительного органа муниципального образования может быть избран гражданин Российской Федерации, достигший на день голосования возраста 18 лет.</w:t>
      </w:r>
    </w:p>
    <w:p>
      <w:pPr>
        <w:pStyle w:val="style22"/>
        <w:rPr/>
      </w:pPr>
      <w:bookmarkStart w:id="15" w:name="Lbl504"/>
      <w:bookmarkEnd w:id="15"/>
      <w:r>
        <w:rPr>
          <w:rStyle w:val="style18"/>
        </w:rPr>
        <w:t>4.</w:t>
      </w:r>
      <w:r>
        <w:rPr/>
        <w:t xml:space="preserve"> Пребывание гражданина Российской Федерации вне места своего жительства во время проведения в избирательном округе, в котором расположено данное место жительства, выборов не может служить основанием для лишения его избирательных прав на участие в выборах депутатов представительного органа муниципального образования.</w:t>
      </w:r>
    </w:p>
    <w:p>
      <w:pPr>
        <w:pStyle w:val="style22"/>
        <w:rPr/>
      </w:pPr>
      <w:bookmarkStart w:id="16" w:name="Lbl505"/>
      <w:bookmarkEnd w:id="16"/>
      <w:r>
        <w:rPr>
          <w:rStyle w:val="style18"/>
        </w:rPr>
        <w:t>5.</w:t>
      </w:r>
      <w:r>
        <w:rPr/>
        <w:t xml:space="preserve"> При наличии в отношении гражданина Российской Федерации вступившего в законную силу решения суда о лишении его права занимать муниципальные должности в течение определенного срока этот гражданин не может быть зарегистрирован в качестве кандидата, если голосование на выборах депутатов представительного органа состоится до истечения указанного срока.</w:t>
      </w:r>
    </w:p>
    <w:p>
      <w:pPr>
        <w:pStyle w:val="style22"/>
        <w:rPr/>
      </w:pPr>
      <w:bookmarkStart w:id="17" w:name="Lbl506"/>
      <w:bookmarkEnd w:id="17"/>
      <w:r>
        <w:rPr>
          <w:rStyle w:val="style18"/>
        </w:rPr>
        <w:t>6.</w:t>
      </w:r>
      <w:r>
        <w:rPr/>
        <w:t xml:space="preserve"> Не имеют права избирать и быть избранными граждане, признанные судом недееспособными или содержащиеся в местах лишения свободы по приговору суда.</w:t>
      </w:r>
    </w:p>
    <w:p>
      <w:pPr>
        <w:pStyle w:val="style22"/>
        <w:rPr/>
      </w:pPr>
      <w:bookmarkStart w:id="18" w:name="Lbl507"/>
      <w:bookmarkEnd w:id="18"/>
      <w:r>
        <w:rPr>
          <w:rStyle w:val="style18"/>
        </w:rPr>
        <w:t>7.</w:t>
      </w:r>
      <w:r>
        <w:rPr/>
        <w:t xml:space="preserve">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депутатами представительного органа муниципального образования, если это предусмотрено международным договором Российской Федерации.</w:t>
      </w:r>
    </w:p>
    <w:p>
      <w:pPr>
        <w:pStyle w:val="style22"/>
        <w:rPr/>
      </w:pPr>
      <w:bookmarkStart w:id="19" w:name="Lbl508"/>
      <w:bookmarkEnd w:id="19"/>
      <w:r>
        <w:rPr>
          <w:rStyle w:val="style18"/>
        </w:rPr>
        <w:t>8.</w:t>
      </w:r>
      <w:r>
        <w:rPr/>
        <w:t xml:space="preserve"> Не имеют права быть избранными граждане Российской Федерации:</w:t>
      </w:r>
    </w:p>
    <w:p>
      <w:pPr>
        <w:pStyle w:val="style41"/>
        <w:rPr/>
      </w:pPr>
      <w:bookmarkStart w:id="20" w:name="Lbl5081"/>
      <w:bookmarkEnd w:id="20"/>
      <w:r>
        <w:rPr/>
        <w:t>Законом Рязанской области от 14 мая 2013 г. № 24-ОЗ пункт 1 части 8 статьи 5 главы 1 настоящего Закона изложен в новой редакции, вступающей в силу через десять дней после дня официального опубликования названного Закона</w:t>
      </w:r>
    </w:p>
    <w:p>
      <w:pPr>
        <w:pStyle w:val="style41"/>
        <w:rPr/>
      </w:pPr>
      <w:r>
        <w:rPr/>
        <w:t>См. текст пункта в предыдущей редакции</w:t>
      </w:r>
    </w:p>
    <w:p>
      <w:pPr>
        <w:pStyle w:val="style22"/>
        <w:rPr/>
      </w:pPr>
      <w:r>
        <w:rPr>
          <w:rStyle w:val="style18"/>
        </w:rPr>
        <w:t>1)</w:t>
      </w:r>
      <w:r>
        <w:rPr/>
        <w:t xml:space="preserve"> осужденные когда-либо к лишению свободы за совершение тяжких и (или) особо тяжких преступлений, за исключением случаев, когда в соответствии с новым уголовным законом эти деяния не признаются тяжкими или особо тяжкими преступлениями;</w:t>
      </w:r>
    </w:p>
    <w:p>
      <w:pPr>
        <w:pStyle w:val="style22"/>
        <w:rPr/>
      </w:pPr>
      <w:bookmarkStart w:id="21" w:name="Lbl5082"/>
      <w:bookmarkEnd w:id="21"/>
      <w:r>
        <w:rPr>
          <w:rStyle w:val="style18"/>
        </w:rPr>
        <w:t>2)</w:t>
      </w:r>
      <w:r>
        <w:rPr/>
        <w:t xml:space="preserve">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w:t>
      </w:r>
    </w:p>
    <w:p>
      <w:pPr>
        <w:pStyle w:val="style22"/>
        <w:rPr/>
      </w:pPr>
      <w:bookmarkStart w:id="22" w:name="Lbl5083"/>
      <w:bookmarkEnd w:id="22"/>
      <w:r>
        <w:rPr>
          <w:rStyle w:val="style18"/>
        </w:rPr>
        <w:t>3)</w:t>
      </w:r>
      <w:r>
        <w:rPr/>
        <w:t xml:space="preserve">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pPr>
        <w:pStyle w:val="style22"/>
        <w:rPr/>
      </w:pPr>
      <w:bookmarkStart w:id="23" w:name="Lbl5084"/>
      <w:bookmarkEnd w:id="23"/>
      <w:r>
        <w:rPr>
          <w:rStyle w:val="style18"/>
        </w:rPr>
        <w:t>4)</w:t>
      </w:r>
      <w:r>
        <w:rPr/>
        <w:t xml:space="preserve"> в отношении которых вступившим в силу решением суда установлен факт нарушения ограничений, предусмотренных </w:t>
      </w:r>
      <w:hyperlink w:anchor="Lbl521">
        <w:r>
          <w:rPr>
            <w:rStyle w:val="style17"/>
          </w:rPr>
          <w:t>частью 1 статьи 52</w:t>
        </w:r>
      </w:hyperlink>
      <w:r>
        <w:rPr/>
        <w:t xml:space="preserve"> настоящего Закона, либо совершения действий, предусмотренных </w:t>
      </w:r>
      <w:hyperlink w:anchor="Lbl7677">
        <w:r>
          <w:rPr>
            <w:rStyle w:val="style17"/>
          </w:rPr>
          <w:t>пунктом 7 части 7 статьи 76</w:t>
        </w:r>
      </w:hyperlink>
      <w:r>
        <w:rPr/>
        <w:t xml:space="preserve"> настоящего Закона, если указанные нарушения либо действия совершены до дня голосования на выборах в течение установленного срока полномочий представительного органа муниципального образования, в который назначены выборы.</w:t>
      </w:r>
    </w:p>
    <w:p>
      <w:pPr>
        <w:pStyle w:val="style22"/>
        <w:rPr/>
      </w:pPr>
      <w:bookmarkStart w:id="24" w:name="Lbl509"/>
      <w:bookmarkEnd w:id="24"/>
      <w:r>
        <w:rPr>
          <w:rStyle w:val="style18"/>
        </w:rPr>
        <w:t>9.</w:t>
      </w:r>
      <w:r>
        <w:rPr/>
        <w:t xml:space="preserve">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а также быть избранными в представительный орган муниципального образования, участвовать в иных избирательных действиях на выборах депутатов представительного органа муниципального образования на тех же условиях, что и граждане Российской Федерации.</w:t>
      </w:r>
    </w:p>
    <w:p>
      <w:pPr>
        <w:pStyle w:val="style47"/>
        <w:rPr/>
      </w:pPr>
      <w:bookmarkStart w:id="25" w:name="Lbl6"/>
      <w:bookmarkEnd w:id="25"/>
      <w:r>
        <w:rPr/>
        <w:t>Статья 6</w:t>
      </w:r>
    </w:p>
    <w:p>
      <w:pPr>
        <w:pStyle w:val="style46"/>
        <w:rPr/>
      </w:pPr>
      <w:r>
        <w:rPr>
          <w:rStyle w:val="style18"/>
        </w:rPr>
        <w:t>Статья 6.</w:t>
      </w:r>
      <w:r>
        <w:rPr/>
        <w:t xml:space="preserve"> Срок полномочий представительного органа муниципального образования</w:t>
      </w:r>
    </w:p>
    <w:p>
      <w:pPr>
        <w:pStyle w:val="style22"/>
        <w:rPr/>
      </w:pPr>
      <w:bookmarkStart w:id="26" w:name="Lbl601"/>
      <w:bookmarkEnd w:id="26"/>
      <w:r>
        <w:rPr>
          <w:rStyle w:val="style18"/>
        </w:rPr>
        <w:t>1.</w:t>
      </w:r>
      <w:r>
        <w:rPr/>
        <w:t xml:space="preserve"> Срок полномочий представительного органа муниципального образования, депутатов указанного органа устанавливается уставом соответствующего муниципального образования. Устанавливаемый срок не может составлять менее двух и более пяти лет.</w:t>
      </w:r>
    </w:p>
    <w:p>
      <w:pPr>
        <w:pStyle w:val="style41"/>
        <w:rPr/>
      </w:pPr>
      <w:bookmarkStart w:id="27" w:name="Lbl602"/>
      <w:bookmarkEnd w:id="27"/>
      <w:r>
        <w:rPr/>
        <w:t>Законом Рязанской области от 14 мая 2013 г. № 24-ОЗ в часть 2 статьи 6 главы 1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2.</w:t>
      </w:r>
      <w:r>
        <w:rPr/>
        <w:t xml:space="preserve"> Изменение (продление или сокращение) срока полномочий действующего представительного органа муниципального образования и депутатов указанного органа не допускается, за исключением случаев, установленных статьей 81.1 Федерального закона «Об основных гарантиях избирательных прав и права на участие в референдуме граждан Российской Федерации».</w:t>
      </w:r>
    </w:p>
    <w:p>
      <w:pPr>
        <w:pStyle w:val="style22"/>
        <w:rPr/>
      </w:pPr>
      <w:bookmarkStart w:id="28" w:name="Lbl603"/>
      <w:bookmarkEnd w:id="28"/>
      <w:r>
        <w:rPr>
          <w:rStyle w:val="style18"/>
        </w:rPr>
        <w:t>3.</w:t>
      </w:r>
      <w:r>
        <w:rPr/>
        <w:t xml:space="preserve"> Норма об изменении (продлении или сокращении) установленного уставом муниципального образования срока, на который избирается представительный орган муниципального образования, депутаты представительного органа муниципального образования, и (или) срока полномочий представительного органа муниципального образования, депутатов представительного органа муниципального образования может применяться только к представительному органу муниципального образования, депутатам представительного органа муниципального образования, избранным на выборах, назначенных после вступления в силу такой нормы.</w:t>
      </w:r>
    </w:p>
    <w:p>
      <w:pPr>
        <w:pStyle w:val="style47"/>
        <w:rPr/>
      </w:pPr>
      <w:bookmarkStart w:id="29" w:name="Lbl7"/>
      <w:bookmarkEnd w:id="29"/>
      <w:r>
        <w:rPr/>
        <w:t>Статья 7</w:t>
      </w:r>
    </w:p>
    <w:p>
      <w:pPr>
        <w:pStyle w:val="style46"/>
        <w:rPr/>
      </w:pPr>
      <w:r>
        <w:rPr>
          <w:rStyle w:val="style18"/>
        </w:rPr>
        <w:t>Статья 7.</w:t>
      </w:r>
      <w:r>
        <w:rPr/>
        <w:t xml:space="preserve"> Назначение выборов депутатов представительного органа муниципального образования</w:t>
      </w:r>
    </w:p>
    <w:p>
      <w:pPr>
        <w:pStyle w:val="style22"/>
        <w:rPr/>
      </w:pPr>
      <w:bookmarkStart w:id="30" w:name="Lbl701"/>
      <w:bookmarkEnd w:id="30"/>
      <w:r>
        <w:rPr>
          <w:rStyle w:val="style18"/>
        </w:rPr>
        <w:t>1.</w:t>
      </w:r>
      <w:r>
        <w:rPr/>
        <w:t xml:space="preserve"> Выборы депутатов представительного органа муниципального образования назначаются представительным органом соответствующего муниципального образования.</w:t>
      </w:r>
    </w:p>
    <w:p>
      <w:pPr>
        <w:pStyle w:val="style41"/>
        <w:rPr/>
      </w:pPr>
      <w:bookmarkStart w:id="31" w:name="Lbl702"/>
      <w:bookmarkEnd w:id="31"/>
      <w:r>
        <w:rPr/>
        <w:t>Законом Рязанской области от 14 мая 2013 г. № 24-ОЗ часть 2 статьи 7 главы 1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2.</w:t>
      </w:r>
      <w:r>
        <w:rPr/>
        <w:t xml:space="preserve"> Днем голосования на выборах в представительные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Lbl703">
        <w:r>
          <w:rPr>
            <w:rStyle w:val="style17"/>
          </w:rPr>
          <w:t>частями 3</w:t>
        </w:r>
      </w:hyperlink>
      <w:r>
        <w:rPr/>
        <w:t xml:space="preserve">, </w:t>
      </w:r>
      <w:hyperlink w:anchor="Lbl704">
        <w:r>
          <w:rPr>
            <w:rStyle w:val="style17"/>
          </w:rPr>
          <w:t>4</w:t>
        </w:r>
      </w:hyperlink>
      <w:r>
        <w:rPr/>
        <w:t xml:space="preserve"> и </w:t>
      </w:r>
      <w:hyperlink w:anchor="Lbl705">
        <w:r>
          <w:rPr>
            <w:rStyle w:val="style17"/>
          </w:rPr>
          <w:t>5</w:t>
        </w:r>
      </w:hyperlink>
      <w:r>
        <w:rPr/>
        <w:t xml:space="preserve"> настоящей статьи.</w:t>
      </w:r>
    </w:p>
    <w:p>
      <w:pPr>
        <w:pStyle w:val="style22"/>
        <w:rPr/>
      </w:pPr>
      <w:bookmarkStart w:id="32" w:name="Lbl703"/>
      <w:bookmarkEnd w:id="32"/>
      <w:r>
        <w:rPr>
          <w:rStyle w:val="style18"/>
        </w:rPr>
        <w:t>3.</w:t>
      </w:r>
      <w:r>
        <w:rPr/>
        <w:t xml:space="preserve"> В случае досрочного прекращения полномочий представительного органа муниципального образования или депутатов указанного органа, влекущего за собой неправомочность представительного органа муниципального образования, досрочные выборы должны быть проведены не позднее чем через шесть месяцев со дня такого досрочного прекращения полномочий.</w:t>
      </w:r>
    </w:p>
    <w:p>
      <w:pPr>
        <w:pStyle w:val="style22"/>
        <w:rPr/>
      </w:pPr>
      <w:bookmarkStart w:id="33" w:name="Lbl704"/>
      <w:bookmarkEnd w:id="33"/>
      <w:r>
        <w:rPr>
          <w:rStyle w:val="style18"/>
        </w:rPr>
        <w:t>4.</w:t>
      </w:r>
      <w:r>
        <w:rPr/>
        <w:t xml:space="preserve"> Выборы депутатов представительного органа вновь образованного муниципального образования должны быть проведены не позднее чем через шесть месяцев со дня его создания.</w:t>
      </w:r>
    </w:p>
    <w:p>
      <w:pPr>
        <w:pStyle w:val="style41"/>
        <w:rPr/>
      </w:pPr>
      <w:bookmarkStart w:id="34" w:name="Lbl705"/>
      <w:bookmarkEnd w:id="34"/>
      <w:r>
        <w:rPr/>
        <w:t>Законом Рязанской области от 14 мая 2013 г. № 24-ОЗ часть 5 статьи 7 главы 1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5.</w:t>
      </w:r>
      <w:r>
        <w:rPr/>
        <w:t xml:space="preserve">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pPr>
        <w:pStyle w:val="style22"/>
        <w:rPr/>
      </w:pPr>
      <w:bookmarkStart w:id="35" w:name="Lbl706"/>
      <w:bookmarkEnd w:id="35"/>
      <w:r>
        <w:rPr>
          <w:rStyle w:val="style18"/>
        </w:rPr>
        <w:t>6.</w:t>
      </w:r>
      <w:r>
        <w:rPr/>
        <w:t xml:space="preserve"> Решение о назначении выборов в представительный орган муниципального образования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pPr>
        <w:pStyle w:val="style22"/>
        <w:rPr/>
      </w:pPr>
      <w:bookmarkStart w:id="36" w:name="Lbl707"/>
      <w:bookmarkEnd w:id="36"/>
      <w:r>
        <w:rPr>
          <w:rStyle w:val="style18"/>
        </w:rPr>
        <w:t>7.</w:t>
      </w:r>
      <w:r>
        <w:rPr/>
        <w:t xml:space="preserve"> Если представительный орган муниципального образования не назначит выборы в сроки, предусмотренные </w:t>
      </w:r>
      <w:hyperlink w:anchor="Lbl706">
        <w:r>
          <w:rPr>
            <w:rStyle w:val="style17"/>
          </w:rPr>
          <w:t>частью 6</w:t>
        </w:r>
      </w:hyperlink>
      <w:r>
        <w:rPr/>
        <w:t xml:space="preserve"> настоящей статьи, а также, если представительный орган муниципального образования отсутствует, выборы в представительный орган муниципального образования назначаются избирательной комиссией соответствующего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Lbl706">
        <w:r>
          <w:rPr>
            <w:rStyle w:val="style17"/>
          </w:rPr>
          <w:t>частью 6</w:t>
        </w:r>
      </w:hyperlink>
      <w:r>
        <w:rPr/>
        <w:t xml:space="preserve"> настоящей статьи срока официального опубликования решения о назначении выборов.</w:t>
      </w:r>
    </w:p>
    <w:p>
      <w:pPr>
        <w:pStyle w:val="style22"/>
        <w:rPr/>
      </w:pPr>
      <w:bookmarkStart w:id="37" w:name="Lbl708"/>
      <w:bookmarkEnd w:id="37"/>
      <w:r>
        <w:rPr>
          <w:rStyle w:val="style18"/>
        </w:rPr>
        <w:t>8.</w:t>
      </w:r>
      <w:r>
        <w:rPr/>
        <w:t xml:space="preserve"> Если избирательная комиссия соответствующего муниципального образования не назначит выборы депутатов представительного органа муниципального образования в установленный </w:t>
      </w:r>
      <w:hyperlink w:anchor="Lbl707">
        <w:r>
          <w:rPr>
            <w:rStyle w:val="style17"/>
          </w:rPr>
          <w:t>частью 7</w:t>
        </w:r>
      </w:hyperlink>
      <w:r>
        <w:rPr/>
        <w:t xml:space="preserve"> настоящей статьи срок либо, если такая избирательная комиссия отсутствует и не может быть сформирована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представительный орган муниципального образования, а в случае его отсутствия — избирательная комиссия муниципального образования, должны назначить выборы. При этом суд также вправе возложить на Избирательную комиссию Рязанской области обязанность сформировать в десятидневный срок со дня вступления в силу решения суда временную избирательную комиссию в количестве не более 15 членов избирательной комиссии с соблюдением требований к составу избирательной комиссии, предусмотренных статьями 22, 24 и 29 Федерального закона «Об основных гарантиях избирательных прав и права на участие в референдуме граждан Российской Федерации», а при отсутствии представительного органа муниципального образования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Избирательной комиссией Рязанской области.</w:t>
      </w:r>
    </w:p>
    <w:p>
      <w:pPr>
        <w:pStyle w:val="style41"/>
        <w:rPr/>
      </w:pPr>
      <w:bookmarkStart w:id="38" w:name="Lbl8"/>
      <w:bookmarkEnd w:id="38"/>
      <w:r>
        <w:rPr/>
        <w:t>Законом Рязанской области от 14 мая 2013 г. № 24-ОЗ статья 8 главы 1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41"/>
        <w:rPr/>
      </w:pPr>
      <w:r>
        <w:rPr/>
        <w:t>См. текст статьи в предыдущей редакции</w:t>
      </w:r>
    </w:p>
    <w:p>
      <w:pPr>
        <w:pStyle w:val="style47"/>
        <w:rPr/>
      </w:pPr>
      <w:r>
        <w:rPr/>
        <w:t>Статья 8</w:t>
      </w:r>
    </w:p>
    <w:p>
      <w:pPr>
        <w:pStyle w:val="style46"/>
        <w:rPr/>
      </w:pPr>
      <w:r>
        <w:rPr>
          <w:rStyle w:val="style18"/>
        </w:rPr>
        <w:t>Статья 8.</w:t>
      </w:r>
      <w:r>
        <w:rPr/>
        <w:t xml:space="preserve"> Избирательные системы, применяемые при проведении выборов депутатов представительного органа муниципального образования</w:t>
      </w:r>
    </w:p>
    <w:p>
      <w:pPr>
        <w:pStyle w:val="style22"/>
        <w:rPr/>
      </w:pPr>
      <w:bookmarkStart w:id="39" w:name="Lbl801"/>
      <w:bookmarkEnd w:id="39"/>
      <w:r>
        <w:rPr>
          <w:rStyle w:val="style18"/>
        </w:rPr>
        <w:t>1.</w:t>
      </w:r>
      <w:r>
        <w:rPr/>
        <w:t xml:space="preserve"> Выборы депутатов представительных органов муниципальных образований проводятся с применением одной из следующих избирательных систем:</w:t>
      </w:r>
    </w:p>
    <w:p>
      <w:pPr>
        <w:pStyle w:val="style22"/>
        <w:rPr/>
      </w:pPr>
      <w:bookmarkStart w:id="40" w:name="Lbl8011"/>
      <w:bookmarkEnd w:id="40"/>
      <w:r>
        <w:rPr>
          <w:rStyle w:val="style18"/>
        </w:rPr>
        <w:t>1)</w:t>
      </w:r>
      <w:r>
        <w:rPr/>
        <w:t xml:space="preserve"> избирательная система относительного большинства, при которой депутаты избираются по одномандатным или многомандатным избирательным округам, образуемым на основе средней нормы представительства избирателей (далее — мажоритарная избирательная система).</w:t>
      </w:r>
    </w:p>
    <w:p>
      <w:pPr>
        <w:pStyle w:val="style22"/>
        <w:rPr/>
      </w:pPr>
      <w:r>
        <w:rPr/>
        <w:t>Средняя норма представительства избирателей на одномандатный избирательный округ устанавливается путем деления общего числа избирателей, проживающих на территории соответствующего муниципального образования и зарегистрированных в соответствии с законодательством Российской Федерации, на общее число одномандатных избирательных округов.</w:t>
      </w:r>
    </w:p>
    <w:p>
      <w:pPr>
        <w:pStyle w:val="style22"/>
        <w:rPr/>
      </w:pPr>
      <w:r>
        <w:rPr/>
        <w:t>Средняя норма представительства избирателей на многомандатный избирательный округ устанавливается путем деления общего числа избирателей, проживающих на территории данного избирательного округа и зарегистрированных в соответствии с законодательством Российской Федерации, на общее число депутатских мандатов.</w:t>
      </w:r>
    </w:p>
    <w:p>
      <w:pPr>
        <w:pStyle w:val="style22"/>
        <w:rPr/>
      </w:pPr>
      <w:r>
        <w:rPr/>
        <w:t xml:space="preserve">Требования к образованию одномандатных или многомандатных избирательных округов устанавливаются законодательством Российской Федерации и </w:t>
      </w:r>
      <w:hyperlink w:anchor="Lbl12">
        <w:r>
          <w:rPr>
            <w:rStyle w:val="style17"/>
          </w:rPr>
          <w:t>статьей 12</w:t>
        </w:r>
      </w:hyperlink>
      <w:r>
        <w:rPr/>
        <w:t xml:space="preserve"> настоящего Закона;</w:t>
      </w:r>
    </w:p>
    <w:p>
      <w:pPr>
        <w:pStyle w:val="style22"/>
        <w:rPr/>
      </w:pPr>
      <w:bookmarkStart w:id="41" w:name="Lbl8012"/>
      <w:bookmarkEnd w:id="41"/>
      <w:r>
        <w:rPr>
          <w:rStyle w:val="style18"/>
        </w:rPr>
        <w:t>2)</w:t>
      </w:r>
      <w:r>
        <w:rPr/>
        <w:t xml:space="preserve"> избирательная система, при которой депутатские мандаты распределяются между списками кандидатов, выдвинутых политическими партиями, региональными отделениями или иными структурными подразделениями политических партий, имеющими в соответствии с законодательством Российской Федерации право принимать участие в выборах, в том числе выдвигать кандидатов (далее — избирательное объединение), пропорционально числу голосов избирателей, полученных каждым из списков кандидатов по единому избирательному округу, определяемому в соответствии со </w:t>
      </w:r>
      <w:hyperlink w:anchor="Lbl12">
        <w:r>
          <w:rPr>
            <w:rStyle w:val="style17"/>
          </w:rPr>
          <w:t>статьей 12</w:t>
        </w:r>
      </w:hyperlink>
      <w:r>
        <w:rPr/>
        <w:t xml:space="preserve"> настоящего Закона (далее — пропорциональная избирательная система);</w:t>
      </w:r>
    </w:p>
    <w:p>
      <w:pPr>
        <w:pStyle w:val="style22"/>
        <w:rPr/>
      </w:pPr>
      <w:bookmarkStart w:id="42" w:name="Lbl8013"/>
      <w:bookmarkEnd w:id="42"/>
      <w:r>
        <w:rPr>
          <w:rStyle w:val="style18"/>
        </w:rPr>
        <w:t>3)</w:t>
      </w:r>
      <w:r>
        <w:rPr/>
        <w:t xml:space="preserve"> избирательная система, при которой одна часть депутатов (не менее 50%) избирается по пропорциональной избирательной системе, а другая часть — по мажоритарной избирательной системе (далее — смешанная избирательная система), при этом число депутатов, избираемых по пропорциональной избирательной системе, и число депутатов, избираемых по мажоритарной избирательной системе, определяется уставом муниципального образования.</w:t>
      </w:r>
    </w:p>
    <w:p>
      <w:pPr>
        <w:pStyle w:val="style22"/>
        <w:rPr/>
      </w:pPr>
      <w:bookmarkStart w:id="43" w:name="Lbl82"/>
      <w:bookmarkEnd w:id="43"/>
      <w:r>
        <w:rPr>
          <w:rStyle w:val="style18"/>
        </w:rPr>
        <w:t>2.</w:t>
      </w:r>
      <w:r>
        <w:rPr/>
        <w:t xml:space="preserve"> Выборы депутатов представительного органа:</w:t>
      </w:r>
    </w:p>
    <w:p>
      <w:pPr>
        <w:pStyle w:val="style22"/>
        <w:rPr/>
      </w:pPr>
      <w:bookmarkStart w:id="44" w:name="Lbl821"/>
      <w:bookmarkEnd w:id="44"/>
      <w:r>
        <w:rPr>
          <w:rStyle w:val="style18"/>
        </w:rPr>
        <w:t>1)</w:t>
      </w:r>
      <w:r>
        <w:rPr/>
        <w:t xml:space="preserve"> муниципального района и городского округа с численностью 20 и более депутатов проводятся с применением смешанной или пропорциональной избирательной системы. При этом в случае применения смешанной избирательной системы не менее половины депутатских мандатов в таком избираемом представительном органе муниципального района, городского округа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w:t>
      </w:r>
    </w:p>
    <w:p>
      <w:pPr>
        <w:pStyle w:val="style22"/>
        <w:rPr/>
      </w:pPr>
      <w:bookmarkStart w:id="45" w:name="Lbl822"/>
      <w:bookmarkEnd w:id="45"/>
      <w:r>
        <w:rPr>
          <w:rStyle w:val="style18"/>
        </w:rPr>
        <w:t>2)</w:t>
      </w:r>
      <w:r>
        <w:rPr/>
        <w:t xml:space="preserve"> поселения (за исключением городского округа) с численностью населения менее 3000 человек, а также представительного органа поселения (включая представительный орган городского округа) с численностью менее 15 депутатов проводятся по мажоритарной избирательной системе.</w:t>
      </w:r>
    </w:p>
    <w:p>
      <w:pPr>
        <w:pStyle w:val="style22"/>
        <w:rPr/>
      </w:pPr>
      <w:bookmarkStart w:id="46" w:name="Lbl823"/>
      <w:bookmarkEnd w:id="46"/>
      <w:r>
        <w:rPr>
          <w:rStyle w:val="style18"/>
        </w:rPr>
        <w:t>3)</w:t>
      </w:r>
      <w:r>
        <w:rPr/>
        <w:t xml:space="preserve"> муниципального образования (за исключением представительного органа муниципального образования, указанного в </w:t>
      </w:r>
      <w:hyperlink w:anchor="Lbl821">
        <w:r>
          <w:rPr>
            <w:rStyle w:val="style17"/>
          </w:rPr>
          <w:t>пункте 1</w:t>
        </w:r>
      </w:hyperlink>
      <w:r>
        <w:rPr/>
        <w:t xml:space="preserve"> и </w:t>
      </w:r>
      <w:hyperlink w:anchor="Lbl822">
        <w:r>
          <w:rPr>
            <w:rStyle w:val="style17"/>
          </w:rPr>
          <w:t>2</w:t>
        </w:r>
      </w:hyperlink>
      <w:r>
        <w:rPr/>
        <w:t xml:space="preserve"> настоящей части) проводятся с применением мажоритарной или смешанной избирательной системы. При этом в случае применения смешанной избирательной системы не менее 10 депутатских мандатов в таком избираемом представительном органе муниципального образования распределяются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w:t>
      </w:r>
    </w:p>
    <w:p>
      <w:pPr>
        <w:pStyle w:val="style22"/>
        <w:rPr/>
      </w:pPr>
      <w:bookmarkStart w:id="47" w:name="Lbl833"/>
      <w:bookmarkEnd w:id="47"/>
      <w:r>
        <w:rPr>
          <w:rStyle w:val="style18"/>
        </w:rPr>
        <w:t>3.</w:t>
      </w:r>
      <w:r>
        <w:rPr/>
        <w:t xml:space="preserve"> Вид применяемой избирательной системы устанавливается уставом соответствующего муниципального образования с учетом положений </w:t>
      </w:r>
      <w:hyperlink w:anchor="Lbl82">
        <w:r>
          <w:rPr>
            <w:rStyle w:val="style17"/>
          </w:rPr>
          <w:t>части 2</w:t>
        </w:r>
      </w:hyperlink>
      <w:r>
        <w:rPr/>
        <w:t xml:space="preserve"> настоящей статьи.</w:t>
      </w:r>
    </w:p>
    <w:p>
      <w:pPr>
        <w:pStyle w:val="style47"/>
        <w:rPr/>
      </w:pPr>
      <w:bookmarkStart w:id="48" w:name="Lbl200"/>
      <w:bookmarkEnd w:id="48"/>
      <w:r>
        <w:rPr/>
        <w:t>Справочник наблюдателя — www.nablawiki.ru</w:t>
      </w:r>
    </w:p>
    <w:p>
      <w:pPr>
        <w:pStyle w:val="style2"/>
        <w:rPr/>
      </w:pPr>
      <w:r>
        <w:rPr/>
        <w:t>Глава 2. Списки избирателей. Избирательные округа. Избирательные участки</w:t>
      </w:r>
    </w:p>
    <w:p>
      <w:pPr>
        <w:pStyle w:val="style47"/>
        <w:rPr/>
      </w:pPr>
      <w:bookmarkStart w:id="49" w:name="Lbl9"/>
      <w:bookmarkEnd w:id="49"/>
      <w:r>
        <w:rPr/>
        <w:t>Статья 9</w:t>
      </w:r>
    </w:p>
    <w:p>
      <w:pPr>
        <w:pStyle w:val="style46"/>
        <w:rPr/>
      </w:pPr>
      <w:r>
        <w:rPr>
          <w:rStyle w:val="style18"/>
        </w:rPr>
        <w:t>Статья 9</w:t>
      </w:r>
      <w:r>
        <w:rPr/>
        <w:t>. Составление списков избирателей</w:t>
      </w:r>
    </w:p>
    <w:p>
      <w:pPr>
        <w:pStyle w:val="style41"/>
        <w:rPr/>
      </w:pPr>
      <w:bookmarkStart w:id="50" w:name="Lbl91"/>
      <w:bookmarkEnd w:id="50"/>
      <w:r>
        <w:rPr/>
        <w:t>Законом Рязанской области от 14 мая 2013 г. № 24-ОЗ в часть 1 статьи 9 главы 2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1.</w:t>
      </w:r>
      <w:r>
        <w:rPr/>
        <w:t xml:space="preserve"> В целях реализации прав избирателей соответствующими избирательными комиссиями составляются списки избирателей на основании сведений, полученных в порядке, установленном статьей 16 Федерального закона «Об основных гарантиях избирательных прав и права на участие в референдуме граждан Российской Федерации», с использованием Государственной системы регистрации (учета) избирателей и участников референдума в Российской Федерации и представляемых в соответствии с </w:t>
      </w:r>
      <w:hyperlink w:anchor="Lbl94">
        <w:r>
          <w:rPr>
            <w:rStyle w:val="style17"/>
          </w:rPr>
          <w:t>частью 4</w:t>
        </w:r>
      </w:hyperlink>
      <w:r>
        <w:rPr/>
        <w:t xml:space="preserve"> настоящей статьи.</w:t>
      </w:r>
    </w:p>
    <w:p>
      <w:pPr>
        <w:pStyle w:val="style22"/>
        <w:rPr/>
      </w:pPr>
      <w:r>
        <w:rPr/>
        <w:t>Списки избирателей составляются отдельно по каждому избирательному участку по форме, установленной избирательной комиссией муниципального образования, а в случае совмещения выборов — по форме, установленной комиссией, организующей выборы.</w:t>
      </w:r>
    </w:p>
    <w:p>
      <w:pPr>
        <w:pStyle w:val="style22"/>
        <w:rPr/>
      </w:pPr>
      <w:bookmarkStart w:id="51" w:name="Lbl92"/>
      <w:bookmarkEnd w:id="51"/>
      <w:r>
        <w:rPr>
          <w:rStyle w:val="style18"/>
        </w:rPr>
        <w:t>2.</w:t>
      </w:r>
      <w:r>
        <w:rPr/>
        <w:t xml:space="preserve"> Список избирателей составляется избирательной комиссией муниципального образования, в том числе с использованием ГАС «Выборы», не позднее чем за 21 день до дня голосования отдельно по каждому избирательному участку на основании сведений, представляемых по установленной форме уполномоченным на то органом или уполномоченным должностным лицом. Списки избирателей на избирательных участках, образованных на территориях воинских частей, составляются участковыми избирательными комиссиями не позднее чем за 21 день до дня голосования, а в исключительных случаях — не позднее чем в день формирования участковой избирательной комиссии.</w:t>
      </w:r>
    </w:p>
    <w:p>
      <w:pPr>
        <w:pStyle w:val="style22"/>
        <w:rPr/>
      </w:pPr>
      <w:bookmarkStart w:id="52" w:name="Lbl93"/>
      <w:bookmarkEnd w:id="52"/>
      <w:r>
        <w:rPr>
          <w:rStyle w:val="style18"/>
        </w:rPr>
        <w:t>3.</w:t>
      </w:r>
      <w:r>
        <w:rPr/>
        <w:t xml:space="preserve">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составляются участковыми избирательными комиссиями не позднее дня, предшествующего дню голосования, на основании данных, представляемых руководителями соответствующих организаций, в которых избиратель временно пребывает. Руководитель организации, в которой избиратель временно пребывает, не позднее чем за семь дней до дня голосования представляет в участковую избирательную комиссию по месту нахождения организации сведения обо всех избирателях, которые в день голосования будут находиться в этой организации, а затем до дня голосования ежедневно уточняет эти сведения. Одновременно в участковую избирательную комиссию передаются личные заявления избирателей о включении их в список избирателей по месту временного пребывания. При этом сообщения о факте включения указанных избирателей в список избирателей по месту временного пребывания избирателей направляются в избирательную комиссию муниципального образования для последующего исключения таких избирателей из списка избирателей соответствующего избирательного участка.</w:t>
      </w:r>
    </w:p>
    <w:p>
      <w:pPr>
        <w:pStyle w:val="style22"/>
        <w:rPr/>
      </w:pPr>
      <w:bookmarkStart w:id="53" w:name="Lbl94"/>
      <w:bookmarkEnd w:id="53"/>
      <w:r>
        <w:rPr>
          <w:rStyle w:val="style18"/>
        </w:rPr>
        <w:t>4.</w:t>
      </w:r>
      <w:r>
        <w:rPr/>
        <w:t xml:space="preserve"> Сведения об избирателях формирует и уточняет глава местной администрации муниципального района, городского округа. Сведения об избирателях-военнослужащих,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в избирательную комиссию муниципального образования сразу после назначения дня голосования, а если список составляет участковая избирательная комиссия — сразу после образования данной избирательной комиссии.</w:t>
      </w:r>
    </w:p>
    <w:p>
      <w:pPr>
        <w:pStyle w:val="style22"/>
        <w:rPr/>
      </w:pPr>
      <w:bookmarkStart w:id="54" w:name="Lbl95"/>
      <w:bookmarkEnd w:id="54"/>
      <w:r>
        <w:rPr>
          <w:rStyle w:val="style18"/>
        </w:rPr>
        <w:t>5.</w:t>
      </w:r>
      <w:r>
        <w:rPr/>
        <w:t xml:space="preserve"> Список избирателей составляется в двух экземплярах. Сведения об избирателях, включаемые в список избирателей, располагаются в алфавитном порядке или ином порядке (по населенным пунктам, улицам, домам, квартирам избирателей).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(в случае совмещения выборов) и для проставления подписи члена участковой избирательной комиссии, выдавшего бюллетень (бюллетени) избирателю.</w:t>
      </w:r>
    </w:p>
    <w:p>
      <w:pPr>
        <w:pStyle w:val="style22"/>
        <w:rPr/>
      </w:pPr>
      <w:bookmarkStart w:id="55" w:name="Lbl96"/>
      <w:bookmarkEnd w:id="55"/>
      <w:r>
        <w:rPr>
          <w:rStyle w:val="style18"/>
        </w:rPr>
        <w:t>6.</w:t>
      </w:r>
      <w:r>
        <w:rPr/>
        <w:t xml:space="preserve"> Первый экземпляр списка избирателей подписывают председатель и секретарь избирательной комиссии муниципального образования. На избирательном участке, образованном в месте временного пребывания избирателей либо на территории воинской части, список избирателей подписывают председатель и секретарь участковой избирательной комиссии. Список избирателей заверяется печатями соответственно избирательной комиссии муниципального образования или участковой избирательной комиссии. Порядок и сроки изготовления, использования второго экземпляра списка избирателей, его передачи соответствующей участковой избирательной комиссии, его заверения и уточнения определяются избирательной комиссией муниципального образования.</w:t>
      </w:r>
    </w:p>
    <w:p>
      <w:pPr>
        <w:pStyle w:val="style41"/>
        <w:rPr/>
      </w:pPr>
      <w:bookmarkStart w:id="56" w:name="Lbl97"/>
      <w:bookmarkEnd w:id="56"/>
      <w:r>
        <w:rPr/>
        <w:t>Законом Рязанской области от 14 мая 2013 г. № 24-ОЗ в часть 7 статьи 9 главы 2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7.</w:t>
      </w:r>
      <w:r>
        <w:rPr/>
        <w:t xml:space="preserve"> Избирательная комиссия муниципального образования передает по акту участковым избирательным комиссиям первый экземпляр списка избирателей соответствующих избирательных участков не позднее чем за 10 дней до дня голосования. Участковая избирательная комиссия вправе разделить первый экземпляр списка избирателей на отдельные книги с сохранением единой нумерации избирателей в списке.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pPr>
        <w:pStyle w:val="style22"/>
        <w:rPr/>
      </w:pPr>
      <w:bookmarkStart w:id="57" w:name="Lbl98"/>
      <w:bookmarkEnd w:id="57"/>
      <w:r>
        <w:rPr>
          <w:rStyle w:val="style18"/>
        </w:rPr>
        <w:t>8.</w:t>
      </w:r>
      <w:r>
        <w:rPr/>
        <w:t xml:space="preserve"> Участковая избирательная комиссия после получения по акту списка избирателей либо после составления ею списка избирателей выверяет его, учитывая произошедшие изменения на основании личных обращений граждан в соответствии со </w:t>
      </w:r>
      <w:hyperlink w:anchor="Lbl11">
        <w:r>
          <w:rPr>
            <w:rStyle w:val="style17"/>
          </w:rPr>
          <w:t>статьей 11</w:t>
        </w:r>
      </w:hyperlink>
      <w:r>
        <w:rPr/>
        <w:t xml:space="preserve"> настоящего Закона, соответствующих документов органов местного самоуправления, должностных лиц, указанных в настоящей статье,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территории Российской Федерации, сообщений вышестоящих избирательных комиссий о включении избирателя в список избирателей на другом избирательном участке.</w:t>
      </w:r>
    </w:p>
    <w:p>
      <w:pPr>
        <w:pStyle w:val="style22"/>
        <w:rPr/>
      </w:pPr>
      <w:bookmarkStart w:id="58" w:name="Lbl99"/>
      <w:bookmarkEnd w:id="58"/>
      <w:r>
        <w:rPr>
          <w:rStyle w:val="style18"/>
        </w:rPr>
        <w:t>9.</w:t>
      </w:r>
      <w:r>
        <w:rPr/>
        <w:t xml:space="preserve">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 в соответствии с федеральными законами.</w:t>
      </w:r>
    </w:p>
    <w:p>
      <w:pPr>
        <w:pStyle w:val="style47"/>
        <w:rPr/>
      </w:pPr>
      <w:bookmarkStart w:id="59" w:name="Lbl10"/>
      <w:bookmarkEnd w:id="59"/>
      <w:r>
        <w:rPr/>
        <w:t>Статья 10</w:t>
      </w:r>
    </w:p>
    <w:p>
      <w:pPr>
        <w:pStyle w:val="style46"/>
        <w:rPr/>
      </w:pPr>
      <w:r>
        <w:rPr>
          <w:rStyle w:val="style18"/>
        </w:rPr>
        <w:t>Статья 10.</w:t>
      </w:r>
      <w:r>
        <w:rPr/>
        <w:t xml:space="preserve"> Порядок включения в список избирателей и исключения из списка избирателей граждан Российской Федерации</w:t>
      </w:r>
    </w:p>
    <w:p>
      <w:pPr>
        <w:pStyle w:val="style41"/>
        <w:rPr/>
      </w:pPr>
      <w:bookmarkStart w:id="60" w:name="Lbl1101"/>
      <w:bookmarkEnd w:id="60"/>
      <w:r>
        <w:rPr/>
        <w:t>Законом Рязанской области от 14 мая 2013 г. № 24-ОЗ в часть 1 статьи 10 главы 2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1.</w:t>
      </w:r>
      <w:r>
        <w:rPr/>
        <w:t xml:space="preserve"> В списки избирателей включаются граждане Российской Федерации, обладающие на день голосования активным избирательным правом в соответствии с </w:t>
      </w:r>
      <w:hyperlink w:anchor="Lbl502">
        <w:r>
          <w:rPr>
            <w:rStyle w:val="style17"/>
          </w:rPr>
          <w:t>частью 2 статьи 5</w:t>
        </w:r>
      </w:hyperlink>
      <w:r>
        <w:rPr/>
        <w:t xml:space="preserve"> настоящего Закона.</w:t>
      </w:r>
    </w:p>
    <w:p>
      <w:pPr>
        <w:pStyle w:val="style22"/>
        <w:rPr/>
      </w:pPr>
      <w:bookmarkStart w:id="61" w:name="Lbl1102"/>
      <w:bookmarkEnd w:id="61"/>
      <w:r>
        <w:rPr>
          <w:rStyle w:val="style18"/>
        </w:rPr>
        <w:t>2.</w:t>
      </w:r>
      <w:r>
        <w:rPr/>
        <w:t xml:space="preserve">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настоящим Законом, — факт временного пребывания на территории этого участка (при наличии у гражданина активного избирательного права). Факт нахождения места жительства либо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настоящим Законом, — другими уполномоченными на то органами, организациями и должностными лицами.</w:t>
      </w:r>
    </w:p>
    <w:p>
      <w:pPr>
        <w:pStyle w:val="style22"/>
        <w:rPr/>
      </w:pPr>
      <w:bookmarkStart w:id="62" w:name="Lbl1103"/>
      <w:bookmarkEnd w:id="62"/>
      <w:r>
        <w:rPr>
          <w:rStyle w:val="style18"/>
        </w:rPr>
        <w:t>3.</w:t>
      </w:r>
      <w:r>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данного муниципального образования, не включаются в списки избирателей и не учитываются при определении числа избирателей при выборах депутатов представительного органа муниципального образования.</w:t>
      </w:r>
    </w:p>
    <w:p>
      <w:pPr>
        <w:pStyle w:val="style22"/>
        <w:rPr/>
      </w:pPr>
      <w:bookmarkStart w:id="63" w:name="Lbl11031"/>
      <w:bookmarkEnd w:id="63"/>
      <w:r>
        <w:rPr/>
        <w:t>Абзац второй утратил силу.</w:t>
      </w:r>
    </w:p>
    <w:p>
      <w:pPr>
        <w:pStyle w:val="style41"/>
        <w:rPr/>
      </w:pPr>
      <w:r>
        <w:rPr/>
        <w:t>См. текст абзаца второго части 3 статьи 10</w:t>
      </w:r>
    </w:p>
    <w:p>
      <w:pPr>
        <w:pStyle w:val="style22"/>
        <w:rPr/>
      </w:pPr>
      <w:bookmarkStart w:id="64" w:name="Lbl1104"/>
      <w:bookmarkEnd w:id="64"/>
      <w:r>
        <w:rPr>
          <w:rStyle w:val="style18"/>
        </w:rPr>
        <w:t>4.</w:t>
      </w:r>
      <w:r>
        <w:rPr/>
        <w:t xml:space="preserve"> Гражданин Российской Федерации включается в список избирателей только на одном избирательном участке. При выявлении избирательной комиссией муниципального образования факта включения гражданина в списки избирателей на разных избирательных участках на одних и тех же выборах указанная избирательная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
    <w:p>
      <w:pPr>
        <w:pStyle w:val="style41"/>
        <w:rPr/>
      </w:pPr>
      <w:bookmarkStart w:id="65" w:name="Lbl11041"/>
      <w:bookmarkEnd w:id="65"/>
      <w:r>
        <w:rPr/>
        <w:t>Законом Рязанской области от 14 мая 2013 г. № 24-ОЗ статья 10 главы 2 настоящего Закона дополнена частью 4.1, вступающей в силу через десять дней после дня официального опубликования названного Закона</w:t>
      </w:r>
    </w:p>
    <w:p>
      <w:pPr>
        <w:pStyle w:val="style22"/>
        <w:rPr/>
      </w:pPr>
      <w:r>
        <w:rPr>
          <w:rStyle w:val="style18"/>
        </w:rPr>
        <w:t>4.1.</w:t>
      </w:r>
      <w:r>
        <w:rPr/>
        <w:t xml:space="preserve"> Избиратели, указанные в </w:t>
      </w:r>
      <w:hyperlink w:anchor="Lbl5021">
        <w:r>
          <w:rPr>
            <w:rStyle w:val="style17"/>
          </w:rPr>
          <w:t>абзаце втором части 2 статьи 5</w:t>
        </w:r>
      </w:hyperlink>
      <w:r>
        <w:rPr/>
        <w:t xml:space="preserve"> настоящего Закона, включаются в списки избирателей по месту нахождения общежития (по месту нахождения образовательной организации (учреждения)) в порядке, предусмотренном </w:t>
      </w:r>
      <w:hyperlink w:anchor="Lbl1105">
        <w:r>
          <w:rPr>
            <w:rStyle w:val="style17"/>
          </w:rPr>
          <w:t>частью 5</w:t>
        </w:r>
      </w:hyperlink>
      <w:r>
        <w:rPr/>
        <w:t xml:space="preserve"> настоящей статьи, на основании сведений об избирателях, обучающихся в образовательной организации (учреждении) по очной форме обучения и зарегистрированных по месту пребывания в общежитии (по месту нахождения образовательной организации (учреждения)), на срок, включающий день голосования на соответствующих выборах, предоставляемых в соответствующую участковую избирательную комиссию руководителем образовательной организации (учреждения) не позднее, чем за три дня до дня голосования).</w:t>
      </w:r>
    </w:p>
    <w:p>
      <w:pPr>
        <w:pStyle w:val="style22"/>
        <w:rPr/>
      </w:pPr>
      <w:bookmarkStart w:id="66" w:name="Lbl1105"/>
      <w:bookmarkEnd w:id="66"/>
      <w:r>
        <w:rPr>
          <w:rStyle w:val="style18"/>
        </w:rPr>
        <w:t>5.</w:t>
      </w:r>
      <w:r>
        <w:rPr/>
        <w:t xml:space="preserve"> Избиратели, находящиеся в день голосования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избиратели-военнослужащие, находящиеся вне места дислокации воинской части, по личному письменному заявлению, поданному в соответствующую участковую избирательную комиссию не позднее чем за три дня до дня голосования, могут быть решением участковой избирательной комиссии включены в списки избирателей на избирательном участке по месту их временного пребывания. Информация об этом передается в участковую избирательную комиссию, где данный избиратель включен в список избирателей по месту жительства, через избирательную комиссию муниципального образования. Участковая избирательная комиссия, исключая избирателя из списка избирателей, в графе «Особые отметки» списка избирателей делает отметку: «Включен в список избирателей на избирательном участке N__» с указанием номера избирательного участка.</w:t>
      </w:r>
    </w:p>
    <w:p>
      <w:pPr>
        <w:pStyle w:val="style22"/>
        <w:rPr/>
      </w:pPr>
      <w:bookmarkStart w:id="67" w:name="Lbl1106"/>
      <w:bookmarkEnd w:id="67"/>
      <w:r>
        <w:rPr>
          <w:rStyle w:val="style18"/>
        </w:rPr>
        <w:t>6.</w:t>
      </w:r>
      <w:r>
        <w:rPr/>
        <w:t xml:space="preserve"> Избиратели-военнослужащие, проживающие вне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w:t>
      </w:r>
    </w:p>
    <w:p>
      <w:pPr>
        <w:pStyle w:val="style22"/>
        <w:rPr/>
      </w:pPr>
      <w:bookmarkStart w:id="68" w:name="Lbl1107"/>
      <w:bookmarkEnd w:id="68"/>
      <w:r>
        <w:rPr>
          <w:rStyle w:val="style18"/>
        </w:rPr>
        <w:t>7.</w:t>
      </w:r>
      <w:r>
        <w:rPr/>
        <w:t xml:space="preserve"> Граждане, зарегистрированные по месту жительства на территории избирательного участка после представления списка избирателей для ознакомления в соответствии со </w:t>
      </w:r>
      <w:hyperlink w:anchor="Lbl11">
        <w:r>
          <w:rPr>
            <w:rStyle w:val="style17"/>
          </w:rPr>
          <w:t>статьей 11</w:t>
        </w:r>
      </w:hyperlink>
      <w:r>
        <w:rPr/>
        <w:t xml:space="preserve"> настоящего Закона, а также избиратели, по какой-либо иной причине не включенные в списки избирателей, решением участковой избирательной комиссии дополнительно включаются в списки избирателей на основании паспорта или документа, заменяющего паспорт гражданина, а при необходимости — и документов, подтверждающих факт нахождения места их жительства на территории данного избирательного участка.</w:t>
      </w:r>
    </w:p>
    <w:p>
      <w:pPr>
        <w:pStyle w:val="style22"/>
        <w:rPr/>
      </w:pPr>
      <w:bookmarkStart w:id="69" w:name="Lbl1108"/>
      <w:bookmarkEnd w:id="69"/>
      <w:r>
        <w:rPr>
          <w:rStyle w:val="style18"/>
        </w:rPr>
        <w:t>8.</w:t>
      </w:r>
      <w:r>
        <w:rPr/>
        <w:t xml:space="preserve"> Если на основании международного договора Российской Федерации иностранные граждане имеют право избирать и быть избранными в представительный орган муниципального образования, участвовать в иных избирательных действиях на указанных выборах, то в списки избирателей включаются граждане соответствующего иностранного государства, достигшие на день голосования возраста 18 лет и не подпадающие под действие </w:t>
      </w:r>
      <w:hyperlink w:anchor="Lbl506">
        <w:r>
          <w:rPr>
            <w:rStyle w:val="style17"/>
          </w:rPr>
          <w:t>части 6 статьи 5</w:t>
        </w:r>
      </w:hyperlink>
      <w:r>
        <w:rPr/>
        <w:t xml:space="preserve"> настоящего Закона, постоянно проживающие на территории соответствующего муниципального образования. Факт нахождения места постоянного проживания соответствующего иностранного гражданина на территории избирательного участка, муниципального образования устанавливается территориальным органом федерального органа исполнительной власти, ведающего вопросами внутренних дел, уполномоченным в соответствии с федеральными законами осуществлять выдачу иностранным гражданам вида на жительство.</w:t>
      </w:r>
    </w:p>
    <w:p>
      <w:pPr>
        <w:pStyle w:val="style22"/>
        <w:rPr/>
      </w:pPr>
      <w:bookmarkStart w:id="70" w:name="Lbl1109"/>
      <w:bookmarkEnd w:id="70"/>
      <w:r>
        <w:rPr>
          <w:rStyle w:val="style18"/>
        </w:rPr>
        <w:t>9.</w:t>
      </w:r>
      <w:r>
        <w:rPr/>
        <w:t xml:space="preserve"> Исключение гражданина Российской Федерации из списка избирателей после его подписания председателем и секретарем соответствующей избирательной комиссии и заверения его печатью этой избирательной комиссии в порядке, предусмотренном настоящим Законом,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указываются факт и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 Решение участковой избирательной комиссии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в сроки, установленные федеральными законами.</w:t>
      </w:r>
    </w:p>
    <w:p>
      <w:pPr>
        <w:pStyle w:val="style47"/>
        <w:rPr/>
      </w:pPr>
      <w:bookmarkStart w:id="71" w:name="Lbl11"/>
      <w:bookmarkEnd w:id="71"/>
      <w:r>
        <w:rPr/>
        <w:t>Статья 11</w:t>
      </w:r>
    </w:p>
    <w:p>
      <w:pPr>
        <w:pStyle w:val="style46"/>
        <w:rPr/>
      </w:pPr>
      <w:r>
        <w:rPr>
          <w:rStyle w:val="style18"/>
        </w:rPr>
        <w:t>Статья 11</w:t>
      </w:r>
      <w:r>
        <w:rPr/>
        <w:t>. Ознакомление избирателей со списками избирателей, уточнение списков избирателей</w:t>
      </w:r>
    </w:p>
    <w:p>
      <w:pPr>
        <w:pStyle w:val="style41"/>
        <w:rPr/>
      </w:pPr>
      <w:bookmarkStart w:id="72" w:name="Lbl11101"/>
      <w:bookmarkEnd w:id="72"/>
      <w:r>
        <w:rPr/>
        <w:t>Законом Рязанской области от 14 мая 2013 г. № 24-ОЗ в часть 1 статьи 11 главы 2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1.</w:t>
      </w:r>
      <w:r>
        <w:rPr/>
        <w:t xml:space="preserve"> Участковая избирательная комиссия за 10 дней до дня голосования, а в случаях составления списка избирателей после этого срока — непосредственно после составления списка избирателей — представляет список избирателей для ознакомления избирателей и его дополнительного уточнения.</w:t>
      </w:r>
    </w:p>
    <w:p>
      <w:pPr>
        <w:pStyle w:val="style22"/>
        <w:rPr/>
      </w:pPr>
      <w:bookmarkStart w:id="73" w:name="Lbl11102"/>
      <w:bookmarkEnd w:id="73"/>
      <w:r>
        <w:rPr>
          <w:rStyle w:val="style18"/>
        </w:rPr>
        <w:t>2.</w:t>
      </w:r>
      <w:r>
        <w:rPr/>
        <w:t xml:space="preserve"> Участковая избирательная комиссия уточняет список избирателей в соответствии с установленным порядком организации взаимодействия избирательной комиссии с органами местного самоуправления, учреждениями и организациями, осуществляющими регистрацию (учет) избирателей. Уполномоченные органы направляют сведения об избирателях для уточнения списка избирателей в участковые избирательные комиссии не ранее чем за 20 дней до дня голосования каждые три дня, а за семь и менее дней до дня голосования — ежедневно. Выверенный и уточненный список избирателей с указанием количества сброшюрованных отдельных книг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pPr>
        <w:pStyle w:val="style22"/>
        <w:rPr/>
      </w:pPr>
      <w:bookmarkStart w:id="74" w:name="Lbl11103"/>
      <w:bookmarkEnd w:id="74"/>
      <w:r>
        <w:rPr>
          <w:rStyle w:val="style18"/>
        </w:rPr>
        <w:t>3.</w:t>
      </w:r>
      <w:r>
        <w:rPr/>
        <w:t xml:space="preserve">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а также о любой ошибке или неточности в сведениях о нем, внесенных в список избирателей. Участковая избирательная комиссия в течение 24 часов, а в день голосования в течение двух часов с момента обращения, но не позднее момента окончания голосования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избирателя с указанием причин такого отклонения, вручив заявителю заверенную копию этого решения.</w:t>
      </w:r>
    </w:p>
    <w:p>
      <w:pPr>
        <w:pStyle w:val="style22"/>
        <w:rPr/>
      </w:pPr>
      <w:bookmarkStart w:id="75" w:name="Lbl11104"/>
      <w:bookmarkEnd w:id="75"/>
      <w:r>
        <w:rPr>
          <w:rStyle w:val="style18"/>
        </w:rPr>
        <w:t>4.</w:t>
      </w:r>
      <w:r>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решение участковой избирательной комиссии об отклонении заявления, указанного в </w:t>
      </w:r>
      <w:hyperlink w:anchor="Lbl11103">
        <w:r>
          <w:rPr>
            <w:rStyle w:val="style17"/>
          </w:rPr>
          <w:t>части 3</w:t>
        </w:r>
      </w:hyperlink>
      <w:r>
        <w:rP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дней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pPr>
        <w:pStyle w:val="style22"/>
        <w:rPr/>
      </w:pPr>
      <w:bookmarkStart w:id="76" w:name="Lbl11105"/>
      <w:bookmarkEnd w:id="76"/>
      <w:r>
        <w:rPr>
          <w:rStyle w:val="style18"/>
        </w:rPr>
        <w:t>5.</w:t>
      </w:r>
      <w:r>
        <w:rPr/>
        <w:t xml:space="preserve"> Каждый гражданин Российской Федерации вправе сообщить в участковую избирательную комиссию об изменении указанных в соответствии с Федеральным законом «Об основных гарантиях избирательных прав и права на участие в референдуме граждан Российской Федерации» и настоящим Законом сведений об избирателях, включенных в список избирателей на соответствующем избирательном участке.</w:t>
      </w:r>
    </w:p>
    <w:p>
      <w:pPr>
        <w:pStyle w:val="style22"/>
        <w:rPr/>
      </w:pPr>
      <w:bookmarkStart w:id="77" w:name="Lbl11106"/>
      <w:bookmarkEnd w:id="77"/>
      <w:r>
        <w:rPr>
          <w:rStyle w:val="style18"/>
        </w:rPr>
        <w:t>6.</w:t>
      </w:r>
      <w:r>
        <w:rPr/>
        <w:t xml:space="preserve"> Внесение изменений в списки избирателей после окончания голосования и начала подсчета голосов избирателей запрещается.</w:t>
      </w:r>
    </w:p>
    <w:p>
      <w:pPr>
        <w:pStyle w:val="style41"/>
        <w:rPr/>
      </w:pPr>
      <w:bookmarkStart w:id="78" w:name="Lbl12"/>
      <w:bookmarkEnd w:id="78"/>
      <w:r>
        <w:rPr/>
        <w:t>Законом Рязанской области от 14 мая 2013 г. № 24-ОЗ статья 12 главы 2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41"/>
        <w:rPr/>
      </w:pPr>
      <w:r>
        <w:rPr/>
        <w:t>См. текст статьи в предыдущей редакции</w:t>
      </w:r>
    </w:p>
    <w:p>
      <w:pPr>
        <w:pStyle w:val="style47"/>
        <w:rPr/>
      </w:pPr>
      <w:r>
        <w:rPr/>
        <w:t>Статья 12</w:t>
      </w:r>
    </w:p>
    <w:p>
      <w:pPr>
        <w:pStyle w:val="style46"/>
        <w:rPr/>
      </w:pPr>
      <w:r>
        <w:rPr>
          <w:rStyle w:val="style18"/>
        </w:rPr>
        <w:t>Статья 12.</w:t>
      </w:r>
      <w:r>
        <w:rPr/>
        <w:t xml:space="preserve"> Образование одномандатных и (или) многомандатных избирательных округов. Единый избирательный округ</w:t>
      </w:r>
    </w:p>
    <w:p>
      <w:pPr>
        <w:pStyle w:val="style22"/>
        <w:rPr/>
      </w:pPr>
      <w:bookmarkStart w:id="79" w:name="Lbl121"/>
      <w:bookmarkEnd w:id="79"/>
      <w:r>
        <w:rPr>
          <w:rStyle w:val="style18"/>
        </w:rPr>
        <w:t>1.</w:t>
      </w:r>
      <w:r>
        <w:rPr/>
        <w:t xml:space="preserve"> Одномандатные и (или) многомандатные избирательные округа образуются с соблюдением общих условий и порядка образования одномандатных и (или) многомандатных избирательных округов, установленных Федеральным законом «Об основных гарантиях избирательных прав и права на участие в референдуме граждан Российской Федерации».</w:t>
      </w:r>
    </w:p>
    <w:p>
      <w:pPr>
        <w:pStyle w:val="style22"/>
        <w:rPr/>
      </w:pPr>
      <w:bookmarkStart w:id="80" w:name="Lbl122"/>
      <w:bookmarkEnd w:id="80"/>
      <w:r>
        <w:rPr>
          <w:rStyle w:val="style18"/>
        </w:rPr>
        <w:t>2.</w:t>
      </w:r>
      <w:r>
        <w:rPr/>
        <w:t xml:space="preserve"> Выборы с использованием пропорциональной избирательной системы проводятся исключительно по единому избирательному округу.</w:t>
      </w:r>
    </w:p>
    <w:p>
      <w:pPr>
        <w:pStyle w:val="style22"/>
        <w:rPr/>
      </w:pPr>
      <w:bookmarkStart w:id="81" w:name="Lbl123"/>
      <w:bookmarkEnd w:id="81"/>
      <w:r>
        <w:rPr>
          <w:rStyle w:val="style18"/>
        </w:rPr>
        <w:t>3.</w:t>
      </w:r>
      <w:r>
        <w:rPr/>
        <w:t xml:space="preserve"> Выборы с использованием смешанной избирательной системы проводятся по единому избирательному округу, а также по одномандатным и (или) многомандатным избирательным округам.</w:t>
      </w:r>
    </w:p>
    <w:p>
      <w:pPr>
        <w:pStyle w:val="style22"/>
        <w:rPr/>
      </w:pPr>
      <w:bookmarkStart w:id="82" w:name="Lbl124"/>
      <w:bookmarkEnd w:id="82"/>
      <w:r>
        <w:rPr>
          <w:rStyle w:val="style18"/>
        </w:rPr>
        <w:t>4.</w:t>
      </w:r>
      <w:r>
        <w:rPr/>
        <w:t xml:space="preserve"> Единый избирательный округ, по которому избираются депутаты представительного органа муниципального образования пропорционально числу голосов, поданных за муниципальные списки кандидатов, включает в себя всю территорию соответствующего муниципального образования.</w:t>
      </w:r>
    </w:p>
    <w:p>
      <w:pPr>
        <w:pStyle w:val="style41"/>
        <w:rPr/>
      </w:pPr>
      <w:bookmarkStart w:id="83" w:name="Lbl13"/>
      <w:bookmarkEnd w:id="83"/>
      <w:r>
        <w:rPr/>
        <w:t>Законом Рязанской области от 14 мая 2013 г. № 24-ОЗ статья 13 главы 2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41"/>
        <w:rPr/>
      </w:pPr>
      <w:r>
        <w:rPr/>
        <w:t>См. текст статьи в предыдущей редакции</w:t>
      </w:r>
    </w:p>
    <w:p>
      <w:pPr>
        <w:pStyle w:val="style47"/>
        <w:rPr/>
      </w:pPr>
      <w:r>
        <w:rPr/>
        <w:t>Статья 13</w:t>
      </w:r>
    </w:p>
    <w:p>
      <w:pPr>
        <w:pStyle w:val="style46"/>
        <w:rPr/>
      </w:pPr>
      <w:r>
        <w:rPr>
          <w:rStyle w:val="style18"/>
        </w:rPr>
        <w:t>Статья 13</w:t>
      </w:r>
      <w:r>
        <w:rPr/>
        <w:t>. Образование избирательных участков</w:t>
      </w:r>
    </w:p>
    <w:p>
      <w:pPr>
        <w:pStyle w:val="style22"/>
        <w:rPr/>
      </w:pPr>
      <w:bookmarkStart w:id="84" w:name="Lbl131"/>
      <w:bookmarkEnd w:id="84"/>
      <w:r>
        <w:rPr>
          <w:rStyle w:val="style18"/>
        </w:rPr>
        <w:t>1.</w:t>
      </w:r>
      <w:r>
        <w:rPr/>
        <w:t xml:space="preserve"> Избирательные участки образуются с соблюдением общих условий и порядка образования избирательных участков, установленных Федеральным законом «Об основных гарантиях избирательных прав и права на участие в референдуме граждан Российской Федерации».</w:t>
      </w:r>
    </w:p>
    <w:p>
      <w:pPr>
        <w:pStyle w:val="style22"/>
        <w:rPr/>
      </w:pPr>
      <w:bookmarkStart w:id="85" w:name="Lbl132"/>
      <w:bookmarkEnd w:id="85"/>
      <w:r>
        <w:rPr>
          <w:rStyle w:val="style18"/>
        </w:rPr>
        <w:t>2.</w:t>
      </w:r>
      <w:r>
        <w:rPr/>
        <w:t xml:space="preserve"> В местах временного пребывания избирателей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вышестоящей избирательной комиссией — не позднее чем за три дня до дня голосования. Такие избирательные участки входят в избирательные округа по месту их расположения.</w:t>
      </w:r>
    </w:p>
    <w:p>
      <w:pPr>
        <w:pStyle w:val="style22"/>
        <w:rPr/>
      </w:pPr>
      <w:bookmarkStart w:id="86" w:name="Lbl133"/>
      <w:bookmarkEnd w:id="86"/>
      <w:r>
        <w:rPr>
          <w:rStyle w:val="style18"/>
        </w:rPr>
        <w:t>3.</w:t>
      </w:r>
      <w:r>
        <w:rPr/>
        <w:t xml:space="preserve"> Списки избирательных участков, образованных в местах временного пребывания избирателей, с указанием их номеров,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территориальными избирательными комиссиями в средствах массовой информации не позднее чем за 25 дней до дня голосования, а информация об избирательных участках, образованных позднее чем за 30 дней до дня голосования, — не позднее чем через два дня после их образования.</w:t>
      </w:r>
    </w:p>
    <w:p>
      <w:pPr>
        <w:pStyle w:val="style47"/>
        <w:rPr/>
      </w:pPr>
      <w:bookmarkStart w:id="87" w:name="Lbl300"/>
      <w:bookmarkEnd w:id="87"/>
      <w:r>
        <w:rPr/>
        <w:t>Справочник наблюдателя — www.nablawiki.ru</w:t>
      </w:r>
    </w:p>
    <w:p>
      <w:pPr>
        <w:pStyle w:val="style2"/>
        <w:rPr/>
      </w:pPr>
      <w:r>
        <w:rPr/>
        <w:t>Глава 3. Избирательные комиссии</w:t>
      </w:r>
    </w:p>
    <w:p>
      <w:pPr>
        <w:pStyle w:val="style47"/>
        <w:rPr/>
      </w:pPr>
      <w:bookmarkStart w:id="88" w:name="Lbl14"/>
      <w:bookmarkEnd w:id="88"/>
      <w:r>
        <w:rPr/>
        <w:t>Статья 14</w:t>
      </w:r>
    </w:p>
    <w:p>
      <w:pPr>
        <w:pStyle w:val="style46"/>
        <w:rPr/>
      </w:pPr>
      <w:r>
        <w:rPr>
          <w:rStyle w:val="style18"/>
        </w:rPr>
        <w:t>Статья 14</w:t>
      </w:r>
      <w:r>
        <w:rPr/>
        <w:t>. Система и статус избирательных комиссий по выборам депутатов представительного органа муниципального образования</w:t>
      </w:r>
    </w:p>
    <w:p>
      <w:pPr>
        <w:pStyle w:val="style22"/>
        <w:rPr/>
      </w:pPr>
      <w:bookmarkStart w:id="89" w:name="Lbl141"/>
      <w:bookmarkEnd w:id="89"/>
      <w:r>
        <w:rPr>
          <w:rStyle w:val="style18"/>
        </w:rPr>
        <w:t>1.</w:t>
      </w:r>
      <w:r>
        <w:rPr/>
        <w:t xml:space="preserve"> Подготовку и проведение выборов депутатов представительного органа муниципального образования осуществляют:</w:t>
      </w:r>
    </w:p>
    <w:p>
      <w:pPr>
        <w:pStyle w:val="style22"/>
        <w:rPr/>
      </w:pPr>
      <w:bookmarkStart w:id="90" w:name="Lbl1411"/>
      <w:bookmarkEnd w:id="90"/>
      <w:r>
        <w:rPr>
          <w:rStyle w:val="style18"/>
        </w:rPr>
        <w:t>1)</w:t>
      </w:r>
      <w:r>
        <w:rPr/>
        <w:t xml:space="preserve"> избирательные комиссии муниципальных образований (территориальные избирательные комиссии);</w:t>
      </w:r>
    </w:p>
    <w:p>
      <w:pPr>
        <w:pStyle w:val="style22"/>
        <w:rPr/>
      </w:pPr>
      <w:bookmarkStart w:id="91" w:name="Lbl1412"/>
      <w:bookmarkEnd w:id="91"/>
      <w:r>
        <w:rPr>
          <w:rStyle w:val="style18"/>
        </w:rPr>
        <w:t>2)</w:t>
      </w:r>
      <w:r>
        <w:rPr/>
        <w:t xml:space="preserve"> окружные избирательные комиссии;</w:t>
      </w:r>
    </w:p>
    <w:p>
      <w:pPr>
        <w:pStyle w:val="style22"/>
        <w:rPr/>
      </w:pPr>
      <w:bookmarkStart w:id="92" w:name="Lbl1413"/>
      <w:bookmarkEnd w:id="92"/>
      <w:r>
        <w:rPr>
          <w:rStyle w:val="style18"/>
        </w:rPr>
        <w:t>3)</w:t>
      </w:r>
      <w:r>
        <w:rPr/>
        <w:t xml:space="preserve"> участковые избирательные комиссии.</w:t>
      </w:r>
    </w:p>
    <w:p>
      <w:pPr>
        <w:pStyle w:val="style41"/>
        <w:rPr/>
      </w:pPr>
      <w:bookmarkStart w:id="93" w:name="Lbl142"/>
      <w:bookmarkEnd w:id="93"/>
      <w:r>
        <w:rPr/>
        <w:t>Законом Рязанской области от 14 мая 2013 г. № 24-ОЗ часть 2 статьи 14 главы 3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2.</w:t>
      </w:r>
      <w:r>
        <w:rPr/>
        <w:t xml:space="preserve"> Полномочия избирательной комиссии муниципального образования по решению Избирательной комиссии Рязанской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При возложении полномочий избирательной комиссии муниципального образования на территориальную избирательную комиссию или на участковую избирательную комиссию число членов территориальной или участковой избирательной комиссии изменению не подлежит.</w:t>
      </w:r>
    </w:p>
    <w:p>
      <w:pPr>
        <w:pStyle w:val="style22"/>
        <w:rPr/>
      </w:pPr>
      <w:r>
        <w:rPr/>
        <w:t>Если на территории муниципального образования образуются несколько территориальных избирательных комиссий, то полномочия избирательной комиссии муниципального образования могут быть возложены на одну из них.</w:t>
      </w:r>
    </w:p>
    <w:p>
      <w:pPr>
        <w:pStyle w:val="style22"/>
        <w:rPr/>
      </w:pPr>
      <w:bookmarkStart w:id="94" w:name="Lbl143"/>
      <w:bookmarkEnd w:id="94"/>
      <w:r>
        <w:rPr>
          <w:rStyle w:val="style18"/>
        </w:rPr>
        <w:t>3.</w:t>
      </w:r>
      <w:r>
        <w:rPr/>
        <w:t xml:space="preserve"> На выборах депутатов представительного органа муниципального образования избирательная комиссия муниципального образования является вышестоящей для соответствующих окружных и (или) участковых избирательных комиссий. Окружная избирательная комиссия является вышестоящей для соответствующих участковых избирательных комиссий.</w:t>
      </w:r>
    </w:p>
    <w:p>
      <w:pPr>
        <w:pStyle w:val="style22"/>
        <w:rPr/>
      </w:pPr>
      <w:bookmarkStart w:id="95" w:name="Lbl144"/>
      <w:bookmarkEnd w:id="95"/>
      <w:r>
        <w:rPr>
          <w:rStyle w:val="style18"/>
        </w:rPr>
        <w:t>4.</w:t>
      </w:r>
      <w:r>
        <w:rPr/>
        <w:t xml:space="preserve"> Решения вышестоящей избирательной комиссии, принятые в пределах ее компетенции, обязательны для нижестоящих избирательных комиссий.</w:t>
      </w:r>
    </w:p>
    <w:p>
      <w:pPr>
        <w:pStyle w:val="style22"/>
        <w:rPr/>
      </w:pPr>
      <w:bookmarkStart w:id="96" w:name="Lbl145"/>
      <w:bookmarkEnd w:id="96"/>
      <w:r>
        <w:rPr>
          <w:rStyle w:val="style18"/>
        </w:rPr>
        <w:t>5.</w:t>
      </w:r>
      <w:r>
        <w:rPr/>
        <w:t xml:space="preserve"> В подготовке и проведении выборов депутатов представительного органа муниципального образования участвует Избирательная комиссия Рязанской области в пределах полномочий, предусмотренных </w:t>
      </w:r>
      <w:hyperlink w:anchor="Lbl18">
        <w:r>
          <w:rPr>
            <w:rStyle w:val="style17"/>
          </w:rPr>
          <w:t>статьей 18</w:t>
        </w:r>
      </w:hyperlink>
      <w:r>
        <w:rPr/>
        <w:t xml:space="preserve"> настоящего Закона.</w:t>
      </w:r>
    </w:p>
    <w:p>
      <w:pPr>
        <w:pStyle w:val="style22"/>
        <w:rPr/>
      </w:pPr>
      <w:bookmarkStart w:id="97" w:name="Lbl146"/>
      <w:bookmarkEnd w:id="97"/>
      <w:r>
        <w:rPr>
          <w:rStyle w:val="style18"/>
        </w:rPr>
        <w:t>6.</w:t>
      </w:r>
      <w:r>
        <w:rPr/>
        <w:t xml:space="preserve"> Избирательные комиссии в пределах своей компетенции независимы от органов государственной власти и органов местного самоуправления.</w:t>
      </w:r>
    </w:p>
    <w:p>
      <w:pPr>
        <w:pStyle w:val="style22"/>
        <w:rPr/>
      </w:pPr>
      <w:bookmarkStart w:id="98" w:name="Lbl147"/>
      <w:bookmarkEnd w:id="98"/>
      <w:r>
        <w:rPr>
          <w:rStyle w:val="style18"/>
        </w:rPr>
        <w:t>7.</w:t>
      </w:r>
      <w:r>
        <w:rPr/>
        <w:t xml:space="preserve"> Решения и иные акты избирательных комиссий, принятые в пределах их компетенции, обязательны для органов исполнительной власти,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w:t>
      </w:r>
    </w:p>
    <w:p>
      <w:pPr>
        <w:pStyle w:val="style22"/>
        <w:rPr/>
      </w:pPr>
      <w:bookmarkStart w:id="99" w:name="Lbl148"/>
      <w:bookmarkEnd w:id="99"/>
      <w:r>
        <w:rPr>
          <w:rStyle w:val="style18"/>
        </w:rPr>
        <w:t>8.</w:t>
      </w:r>
      <w:r>
        <w:rPr/>
        <w:t xml:space="preserve">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pPr>
        <w:pStyle w:val="style22"/>
        <w:rPr/>
      </w:pPr>
      <w:bookmarkStart w:id="100" w:name="Lbl149"/>
      <w:bookmarkEnd w:id="100"/>
      <w:r>
        <w:rPr>
          <w:rStyle w:val="style18"/>
        </w:rPr>
        <w:t>9.</w:t>
      </w:r>
      <w:r>
        <w:rPr/>
        <w:t xml:space="preserve"> Избирательные комиссии вправе, в том числе в связи с обращениями, указанными в </w:t>
      </w:r>
      <w:hyperlink w:anchor="Lbl148">
        <w:r>
          <w:rPr>
            <w:rStyle w:val="style17"/>
          </w:rPr>
          <w:t>части 8</w:t>
        </w:r>
      </w:hyperlink>
      <w:r>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pPr>
        <w:pStyle w:val="style22"/>
        <w:rPr/>
      </w:pPr>
      <w:bookmarkStart w:id="101" w:name="Lbl1410"/>
      <w:bookmarkEnd w:id="101"/>
      <w:r>
        <w:rPr>
          <w:rStyle w:val="style18"/>
        </w:rPr>
        <w:t>10.</w:t>
      </w:r>
      <w:r>
        <w:rPr/>
        <w:t xml:space="preserve"> В случае нарушения кандидатом, избирательным объединением Федерального закона «Об основных гарантиях избирательных прав и права на участие в референдуме граждан Российской Федерации» и (или) настоящего Закона соответствующая избирательная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pPr>
        <w:pStyle w:val="style22"/>
        <w:rPr/>
      </w:pPr>
      <w:bookmarkStart w:id="102" w:name="Lbl14111"/>
      <w:bookmarkEnd w:id="102"/>
      <w:r>
        <w:rPr>
          <w:rStyle w:val="style18"/>
        </w:rPr>
        <w:t>11.</w:t>
      </w:r>
      <w:r>
        <w:rPr/>
        <w:t xml:space="preserve">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об избирательных объединениях, выдвинувших кандидатов, списки кандидатов.</w:t>
      </w:r>
    </w:p>
    <w:p>
      <w:pPr>
        <w:pStyle w:val="style22"/>
        <w:rPr/>
      </w:pPr>
      <w:bookmarkStart w:id="103" w:name="Lbl14112"/>
      <w:bookmarkEnd w:id="103"/>
      <w:r>
        <w:rPr>
          <w:rStyle w:val="style18"/>
        </w:rPr>
        <w:t>12.</w:t>
      </w:r>
      <w:r>
        <w:rPr/>
        <w:t xml:space="preserve">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pPr>
        <w:pStyle w:val="style47"/>
        <w:rPr/>
      </w:pPr>
      <w:bookmarkStart w:id="104" w:name="Lbl15"/>
      <w:bookmarkEnd w:id="104"/>
      <w:r>
        <w:rPr/>
        <w:t>Статья 15</w:t>
      </w:r>
    </w:p>
    <w:p>
      <w:pPr>
        <w:pStyle w:val="style46"/>
        <w:rPr/>
      </w:pPr>
      <w:r>
        <w:rPr>
          <w:rStyle w:val="style18"/>
        </w:rPr>
        <w:t>Статья 15</w:t>
      </w:r>
      <w:r>
        <w:rPr/>
        <w:t>. Порядок формирования и полномочия избирательной комиссии муниципального образования</w:t>
      </w:r>
    </w:p>
    <w:p>
      <w:pPr>
        <w:pStyle w:val="style22"/>
        <w:rPr/>
      </w:pPr>
      <w:bookmarkStart w:id="105" w:name="Lbl151"/>
      <w:bookmarkEnd w:id="105"/>
      <w:r>
        <w:rPr>
          <w:rStyle w:val="style18"/>
        </w:rPr>
        <w:t>1.</w:t>
      </w:r>
      <w:r>
        <w:rPr/>
        <w:t xml:space="preserve"> Порядок формирования избирательной комиссии муниципального образования устанавливается Федеральным законом «Об основных гарантиях избирательных прав и права на участие в референдуме граждан Российской Федерации».</w:t>
      </w:r>
    </w:p>
    <w:p>
      <w:pPr>
        <w:pStyle w:val="style22"/>
        <w:rPr/>
      </w:pPr>
      <w:bookmarkStart w:id="106" w:name="Lbl152"/>
      <w:bookmarkEnd w:id="106"/>
      <w:r>
        <w:rPr>
          <w:rStyle w:val="style18"/>
        </w:rPr>
        <w:t>2.</w:t>
      </w:r>
      <w:r>
        <w:rPr/>
        <w:t xml:space="preserve"> Если в порядке, предусмотренном </w:t>
      </w:r>
      <w:hyperlink w:anchor="Lbl142">
        <w:r>
          <w:rPr>
            <w:rStyle w:val="style17"/>
          </w:rPr>
          <w:t>частью 2 статьи 14</w:t>
        </w:r>
      </w:hyperlink>
      <w:r>
        <w:rPr/>
        <w:t xml:space="preserve"> настоящего Закона, полномочия избирательной комиссии муниципального образования на определенный срок или бессрочно были возложены на территориальную избирательную комиссию, последняя соответственно в течение определенного срока либо бессрочно осуществляет подготовку и проведение выборов депутатов представительного органа данного муниципального образования.</w:t>
      </w:r>
    </w:p>
    <w:p>
      <w:pPr>
        <w:pStyle w:val="style22"/>
        <w:rPr/>
      </w:pPr>
      <w:bookmarkStart w:id="107" w:name="Lbl153"/>
      <w:bookmarkEnd w:id="107"/>
      <w:r>
        <w:rPr>
          <w:rStyle w:val="style18"/>
        </w:rPr>
        <w:t>3.</w:t>
      </w:r>
      <w:r>
        <w:rPr/>
        <w:t xml:space="preserve"> Избирательная комиссия муниципального образования:</w:t>
      </w:r>
    </w:p>
    <w:p>
      <w:pPr>
        <w:pStyle w:val="style22"/>
        <w:rPr/>
      </w:pPr>
      <w:bookmarkStart w:id="108" w:name="Lbl1531"/>
      <w:bookmarkEnd w:id="108"/>
      <w:r>
        <w:rPr>
          <w:rStyle w:val="style18"/>
        </w:rPr>
        <w:t>1)</w:t>
      </w:r>
      <w:r>
        <w:rPr/>
        <w:t xml:space="preserve"> осуществляет на территории муниципального образования контроль за соблюдением избирательных прав граждан Российской Федерации;</w:t>
      </w:r>
    </w:p>
    <w:p>
      <w:pPr>
        <w:pStyle w:val="style22"/>
        <w:rPr/>
      </w:pPr>
      <w:bookmarkStart w:id="109" w:name="Lbl1532"/>
      <w:bookmarkEnd w:id="109"/>
      <w:r>
        <w:rPr>
          <w:rStyle w:val="style18"/>
        </w:rPr>
        <w:t>2)</w:t>
      </w:r>
      <w:r>
        <w:rPr/>
        <w:t xml:space="preserve"> назначает выборы депутатов представительного органа муниципального образования в случаях, установленных настоящим Законом;</w:t>
      </w:r>
    </w:p>
    <w:p>
      <w:pPr>
        <w:pStyle w:val="style22"/>
        <w:rPr/>
      </w:pPr>
      <w:bookmarkStart w:id="110" w:name="Lbl1533"/>
      <w:bookmarkEnd w:id="110"/>
      <w:r>
        <w:rPr>
          <w:rStyle w:val="style18"/>
        </w:rPr>
        <w:t>3)</w:t>
      </w:r>
      <w:r>
        <w:rPr/>
        <w:t xml:space="preserve"> определяет схему одномандатных (многомандатных) избирательных округов (и ее графическое описание) и представляет ее на утверждение представительному органу местного самоуправления в порядке, установленном настоящим Законом;</w:t>
      </w:r>
    </w:p>
    <w:p>
      <w:pPr>
        <w:pStyle w:val="style22"/>
        <w:rPr/>
      </w:pPr>
      <w:bookmarkStart w:id="111" w:name="Lbl1534"/>
      <w:bookmarkEnd w:id="111"/>
      <w:r>
        <w:rPr>
          <w:rStyle w:val="style18"/>
        </w:rPr>
        <w:t>4)</w:t>
      </w:r>
      <w:r>
        <w:rPr/>
        <w:t xml:space="preserve"> обеспечивает на территории муниципального образования реализацию мероприятий, связанных с подготовкой и проведением выборов депутатов представительного органа муниципального образования, изданием необходимой печатной продукции;</w:t>
      </w:r>
    </w:p>
    <w:p>
      <w:pPr>
        <w:pStyle w:val="style41"/>
        <w:rPr/>
      </w:pPr>
      <w:bookmarkStart w:id="112" w:name="Lbl15341"/>
      <w:bookmarkEnd w:id="112"/>
      <w:r>
        <w:rPr/>
        <w:t>Законом Рязанской области от 14 мая 2013 г. № 24-ОЗ часть 3 статьи 15 главы 3 настоящего Закона дополнена пунктом 4.1, вступающим в силу через десять дней после дня официального опубликования названного Закона</w:t>
      </w:r>
    </w:p>
    <w:p>
      <w:pPr>
        <w:pStyle w:val="style22"/>
        <w:rPr/>
      </w:pPr>
      <w:r>
        <w:rPr>
          <w:rStyle w:val="style18"/>
        </w:rPr>
        <w:t>4.1)</w:t>
      </w:r>
      <w:r>
        <w:rPr/>
        <w:t xml:space="preserve"> утверждает формы документов, необходимых для проведения выборов депутатов представительного органа муниципального образования, — избирательных бюллетеней, списков избирателей, протоколов избирательных комиссий, иных документов, предусмотренных настоящим Законом, порядок их хранения;</w:t>
      </w:r>
    </w:p>
    <w:p>
      <w:pPr>
        <w:pStyle w:val="style22"/>
        <w:rPr/>
      </w:pPr>
      <w:bookmarkStart w:id="113" w:name="Lbl1535"/>
      <w:bookmarkEnd w:id="113"/>
      <w:r>
        <w:rPr>
          <w:rStyle w:val="style18"/>
        </w:rPr>
        <w:t>5)</w:t>
      </w:r>
      <w:r>
        <w:rPr/>
        <w:t xml:space="preserve"> осуществляет на территории муниципального образования меры по обеспечению при проведении выборов депутатов представительного органа муниципального образования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pPr>
        <w:pStyle w:val="style22"/>
        <w:rPr/>
      </w:pPr>
      <w:bookmarkStart w:id="114" w:name="Lbl1536"/>
      <w:bookmarkEnd w:id="114"/>
      <w:r>
        <w:rPr>
          <w:rStyle w:val="style18"/>
        </w:rPr>
        <w:t>6)</w:t>
      </w:r>
      <w:r>
        <w:rPr/>
        <w:t xml:space="preserve"> осуществляет контроль за поступлением и расходованием средств избирательных фондов избирательных объединений;</w:t>
      </w:r>
    </w:p>
    <w:p>
      <w:pPr>
        <w:pStyle w:val="style22"/>
        <w:rPr/>
      </w:pPr>
      <w:bookmarkStart w:id="115" w:name="Lbl1537"/>
      <w:bookmarkEnd w:id="115"/>
      <w:r>
        <w:rPr>
          <w:rStyle w:val="style18"/>
        </w:rPr>
        <w:t>7)</w:t>
      </w:r>
      <w:r>
        <w:rPr/>
        <w:t xml:space="preserve"> осуществляет на территории муниципального образования меры по обеспечению при проведении выборов депутатов представительного органа муниципального образования соблюдения единого порядка установления итогов голосования, определения результатов выборов;</w:t>
      </w:r>
    </w:p>
    <w:p>
      <w:pPr>
        <w:pStyle w:val="style22"/>
        <w:rPr/>
      </w:pPr>
      <w:bookmarkStart w:id="116" w:name="Lbl1538"/>
      <w:bookmarkEnd w:id="116"/>
      <w:r>
        <w:rPr>
          <w:rStyle w:val="style18"/>
        </w:rPr>
        <w:t>8)</w:t>
      </w:r>
      <w:r>
        <w:rPr/>
        <w:t xml:space="preserve"> осуществляет на территории муниципального образования меры по обеспечению при проведении выборов депутатов представительного органа муниципального образования соблюдения единого порядка опубликования итогов голосования и результатов выборов;</w:t>
      </w:r>
    </w:p>
    <w:p>
      <w:pPr>
        <w:pStyle w:val="style22"/>
        <w:rPr/>
      </w:pPr>
      <w:bookmarkStart w:id="117" w:name="Lbl1539"/>
      <w:bookmarkEnd w:id="117"/>
      <w:r>
        <w:rPr>
          <w:rStyle w:val="style18"/>
        </w:rPr>
        <w:t>9)</w:t>
      </w:r>
      <w:r>
        <w:rPr/>
        <w:t xml:space="preserve"> осуществляет на территории муниципального образования меры по организации финансирования подготовки и проведения выборов депутатов представительного органа муниципального образования, распределяет выделенные из бюджета муниципального образования и (или) областного бюджета средства на финансовое обеспечение подготовки и проведения выборов депутатов представительного органа муниципального образования, контролирует целевое использование указанных средств;</w:t>
      </w:r>
    </w:p>
    <w:p>
      <w:pPr>
        <w:pStyle w:val="style22"/>
        <w:rPr/>
      </w:pPr>
      <w:bookmarkStart w:id="118" w:name="Lbl15310"/>
      <w:bookmarkEnd w:id="118"/>
      <w:r>
        <w:rPr>
          <w:rStyle w:val="style18"/>
        </w:rPr>
        <w:t>10)</w:t>
      </w:r>
      <w:r>
        <w:rPr/>
        <w:t xml:space="preserve"> оказывает правовую, методическую и организационно-техническую помощь нижестоящим избирательным комиссиям;</w:t>
      </w:r>
    </w:p>
    <w:p>
      <w:pPr>
        <w:pStyle w:val="style22"/>
        <w:rPr/>
      </w:pPr>
      <w:bookmarkStart w:id="119" w:name="Lbl15311"/>
      <w:bookmarkEnd w:id="119"/>
      <w:r>
        <w:rPr>
          <w:rStyle w:val="style18"/>
        </w:rPr>
        <w:t>11)</w:t>
      </w:r>
      <w:r>
        <w:rPr/>
        <w:t xml:space="preserve"> заверяет муниципальные списки кандидатов, выдвинутые избирательным объединением по единому избирательному округу, одномандатным и (или) многомандатным избирательным округам;</w:t>
      </w:r>
    </w:p>
    <w:p>
      <w:pPr>
        <w:pStyle w:val="style22"/>
        <w:rPr/>
      </w:pPr>
      <w:bookmarkStart w:id="120" w:name="Lbl15312"/>
      <w:bookmarkEnd w:id="120"/>
      <w:r>
        <w:rPr>
          <w:rStyle w:val="style18"/>
        </w:rPr>
        <w:t>12)</w:t>
      </w:r>
      <w:r>
        <w:rPr/>
        <w:t xml:space="preserve"> регистрирует муниципальные списки кандидатов, выдвинутых по единому избирательному округу, доверенных лиц и уполномоченных представителей по финансовым вопросам избирательных объединений, выдвинувших списки кандидатов, выдает им удостоверения установленного образца;</w:t>
      </w:r>
    </w:p>
    <w:p>
      <w:pPr>
        <w:pStyle w:val="style22"/>
        <w:rPr/>
      </w:pPr>
      <w:bookmarkStart w:id="121" w:name="Lbl15313"/>
      <w:bookmarkEnd w:id="121"/>
      <w:r>
        <w:rPr>
          <w:rStyle w:val="style18"/>
        </w:rPr>
        <w:t>13)</w:t>
      </w:r>
      <w:r>
        <w:rPr/>
        <w:t xml:space="preserve"> утверждает текст избирательного бюллетеня для голосования по единому избирательному округу;</w:t>
      </w:r>
    </w:p>
    <w:p>
      <w:pPr>
        <w:pStyle w:val="style22"/>
        <w:rPr/>
      </w:pPr>
      <w:bookmarkStart w:id="122" w:name="Lbl15314"/>
      <w:bookmarkEnd w:id="122"/>
      <w:r>
        <w:rPr>
          <w:rStyle w:val="style18"/>
        </w:rPr>
        <w:t>14)</w:t>
      </w:r>
      <w:r>
        <w:rPr/>
        <w:t xml:space="preserve"> обеспечивает изготовление и доставку избирательных бюллетеней нижестоящим избирательным комиссиям;</w:t>
      </w:r>
    </w:p>
    <w:p>
      <w:pPr>
        <w:pStyle w:val="style22"/>
        <w:rPr/>
      </w:pPr>
      <w:bookmarkStart w:id="123" w:name="Lbl15315"/>
      <w:bookmarkEnd w:id="123"/>
      <w:r>
        <w:rPr>
          <w:rStyle w:val="style18"/>
        </w:rPr>
        <w:t>15)</w:t>
      </w:r>
      <w:r>
        <w:rPr/>
        <w:t xml:space="preserve"> контролирует обеспечение участковых избирательных комиссий помещениями, транспортом, связью и рассматривает иные вопросы материально-технического обеспечения выборов;</w:t>
      </w:r>
    </w:p>
    <w:p>
      <w:pPr>
        <w:pStyle w:val="style22"/>
        <w:rPr/>
      </w:pPr>
      <w:bookmarkStart w:id="124" w:name="Lbl15316"/>
      <w:bookmarkEnd w:id="124"/>
      <w:r>
        <w:rPr>
          <w:rStyle w:val="style18"/>
        </w:rPr>
        <w:t>16)</w:t>
      </w:r>
      <w:r>
        <w:rPr/>
        <w:t xml:space="preserve"> заслушивает сообщения представителей органов местного самоуправления по вопросам, связанным с подготовкой и проведением выборов;</w:t>
      </w:r>
    </w:p>
    <w:p>
      <w:pPr>
        <w:pStyle w:val="style22"/>
        <w:rPr/>
      </w:pPr>
      <w:bookmarkStart w:id="125" w:name="Lbl15317"/>
      <w:bookmarkEnd w:id="125"/>
      <w:r>
        <w:rPr>
          <w:rStyle w:val="style18"/>
        </w:rPr>
        <w:t>17)</w:t>
      </w:r>
      <w:r>
        <w:rPr/>
        <w:t xml:space="preserve"> составляет списки избирателей, передает их участковым избирательным комиссиям;</w:t>
      </w:r>
    </w:p>
    <w:p>
      <w:pPr>
        <w:pStyle w:val="style22"/>
        <w:rPr/>
      </w:pPr>
      <w:bookmarkStart w:id="126" w:name="Lbl15318"/>
      <w:bookmarkEnd w:id="126"/>
      <w:r>
        <w:rPr>
          <w:rStyle w:val="style18"/>
        </w:rPr>
        <w:t>18)</w:t>
      </w:r>
      <w:r>
        <w:rPr/>
        <w:t xml:space="preserve"> организует деятельность избирательных комиссий по единообразному использованию отдельных технических средств, входящих в ГАС «Выборы», в том числе технических средств подсчета голосов;</w:t>
      </w:r>
    </w:p>
    <w:p>
      <w:pPr>
        <w:pStyle w:val="style22"/>
        <w:rPr/>
      </w:pPr>
      <w:bookmarkStart w:id="127" w:name="Lbl15319"/>
      <w:bookmarkEnd w:id="127"/>
      <w:r>
        <w:rPr>
          <w:rStyle w:val="style18"/>
        </w:rPr>
        <w:t>19)</w:t>
      </w:r>
      <w:r>
        <w:rPr/>
        <w:t xml:space="preserve"> назначает повторные выборы и организует их проведение;</w:t>
      </w:r>
    </w:p>
    <w:p>
      <w:pPr>
        <w:pStyle w:val="style22"/>
        <w:rPr/>
      </w:pPr>
      <w:bookmarkStart w:id="128" w:name="Lbl15320"/>
      <w:bookmarkEnd w:id="128"/>
      <w:r>
        <w:rPr>
          <w:rStyle w:val="style18"/>
        </w:rPr>
        <w:t>20)</w:t>
      </w:r>
      <w:r>
        <w:rPr/>
        <w:t xml:space="preserve"> назначает дополнительные выборы при досрочном прекращении полномочий депутатов представительного органа муниципального образования и организует их проведение;</w:t>
      </w:r>
    </w:p>
    <w:p>
      <w:pPr>
        <w:pStyle w:val="style22"/>
        <w:rPr/>
      </w:pPr>
      <w:bookmarkStart w:id="129" w:name="Lbl15321"/>
      <w:bookmarkEnd w:id="129"/>
      <w:r>
        <w:rPr>
          <w:rStyle w:val="style18"/>
        </w:rPr>
        <w:t>21)</w:t>
      </w:r>
      <w:r>
        <w:rPr/>
        <w:t xml:space="preserve"> определяет результаты выборов по единому избирательному округу, общие результаты выборов и публикует их в средствах массовой информации;</w:t>
      </w:r>
    </w:p>
    <w:p>
      <w:pPr>
        <w:pStyle w:val="style22"/>
        <w:rPr/>
      </w:pPr>
      <w:bookmarkStart w:id="130" w:name="Lbl15322"/>
      <w:bookmarkEnd w:id="130"/>
      <w:r>
        <w:rPr>
          <w:rStyle w:val="style18"/>
        </w:rPr>
        <w:t>22)</w:t>
      </w:r>
      <w:r>
        <w:rPr/>
        <w:t xml:space="preserve"> распределяет депутатские мандаты между списками кандидатов, выдвинутых избирательными объединениями по единому избирательному округу и допущенными к распределению депутатских мандатов;</w:t>
      </w:r>
    </w:p>
    <w:p>
      <w:pPr>
        <w:pStyle w:val="style22"/>
        <w:rPr/>
      </w:pPr>
      <w:bookmarkStart w:id="131" w:name="Lbl15323"/>
      <w:bookmarkEnd w:id="131"/>
      <w:r>
        <w:rPr>
          <w:rStyle w:val="style18"/>
        </w:rPr>
        <w:t>23)</w:t>
      </w:r>
      <w:r>
        <w:rPr/>
        <w:t xml:space="preserve"> регистрирует избранных кандидатов по единому избирательному округу, выдает им удостоверения об избрании;</w:t>
      </w:r>
    </w:p>
    <w:p>
      <w:pPr>
        <w:pStyle w:val="style22"/>
        <w:rPr/>
      </w:pPr>
      <w:bookmarkStart w:id="132" w:name="Lbl15324"/>
      <w:bookmarkEnd w:id="132"/>
      <w:r>
        <w:rPr>
          <w:rStyle w:val="style18"/>
        </w:rPr>
        <w:t>24)</w:t>
      </w:r>
      <w:r>
        <w:rPr/>
        <w:t xml:space="preserve"> обеспечивает передачу в архив документации, связанной с проведением выборов;</w:t>
      </w:r>
    </w:p>
    <w:p>
      <w:pPr>
        <w:pStyle w:val="style22"/>
        <w:rPr/>
      </w:pPr>
      <w:bookmarkStart w:id="133" w:name="Lbl15325"/>
      <w:bookmarkEnd w:id="133"/>
      <w:r>
        <w:rPr>
          <w:rStyle w:val="style18"/>
        </w:rPr>
        <w:t>25)</w:t>
      </w:r>
      <w:r>
        <w:rPr/>
        <w:t xml:space="preserve"> рассматривает жалобы (заявления) на решения и действия (бездействие) участковых избирательных комиссий, а избирательная комиссия муниципального района — также жалобы (заявления) на решения и действия (бездействие) избирательных комиссий поселения и принимает по указанным жалобам (заявлениям) мотивированные решения;</w:t>
      </w:r>
    </w:p>
    <w:p>
      <w:pPr>
        <w:pStyle w:val="style22"/>
        <w:rPr/>
      </w:pPr>
      <w:bookmarkStart w:id="134" w:name="Lbl15326"/>
      <w:bookmarkEnd w:id="134"/>
      <w:r>
        <w:rPr>
          <w:rStyle w:val="style18"/>
        </w:rPr>
        <w:t>26)</w:t>
      </w:r>
      <w:r>
        <w:rPr/>
        <w:t xml:space="preserve"> назначает выборы депутатов представительного органа вновь образованного муниципального образования;</w:t>
      </w:r>
    </w:p>
    <w:p>
      <w:pPr>
        <w:pStyle w:val="style22"/>
        <w:rPr/>
      </w:pPr>
      <w:bookmarkStart w:id="135" w:name="Lbl15327"/>
      <w:bookmarkEnd w:id="135"/>
      <w:r>
        <w:rPr>
          <w:rStyle w:val="style18"/>
        </w:rPr>
        <w:t>27)</w:t>
      </w:r>
      <w:r>
        <w:rPr/>
        <w:t xml:space="preserve">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уставом муниципального образования.</w:t>
      </w:r>
    </w:p>
    <w:p>
      <w:pPr>
        <w:pStyle w:val="style47"/>
        <w:rPr/>
      </w:pPr>
      <w:bookmarkStart w:id="136" w:name="Lbl16"/>
      <w:bookmarkEnd w:id="136"/>
      <w:r>
        <w:rPr/>
        <w:t>Статья 16</w:t>
      </w:r>
    </w:p>
    <w:p>
      <w:pPr>
        <w:pStyle w:val="style46"/>
        <w:rPr/>
      </w:pPr>
      <w:r>
        <w:rPr>
          <w:rStyle w:val="style18"/>
        </w:rPr>
        <w:t>Статья 16.</w:t>
      </w:r>
      <w:r>
        <w:rPr/>
        <w:t xml:space="preserve"> Порядок формирования и полномочия окружной избирательной комиссии</w:t>
      </w:r>
    </w:p>
    <w:p>
      <w:pPr>
        <w:pStyle w:val="style22"/>
        <w:rPr/>
      </w:pPr>
      <w:bookmarkStart w:id="137" w:name="Lbl161"/>
      <w:bookmarkEnd w:id="137"/>
      <w:r>
        <w:rPr>
          <w:rStyle w:val="style18"/>
        </w:rPr>
        <w:t>1.</w:t>
      </w:r>
      <w:r>
        <w:rPr/>
        <w:t xml:space="preserve"> Окружная избирательная комиссия формируется в каждом одномандатном (многомандатном) избирательном округе. Полномочия окружной избирательной комиссии по решению избирательной комиссии муниципального образования могут возлагаться на иную избирательную комиссию.</w:t>
      </w:r>
    </w:p>
    <w:p>
      <w:pPr>
        <w:pStyle w:val="style22"/>
        <w:rPr/>
      </w:pPr>
      <w:r>
        <w:rPr/>
        <w:t>Окружная избирательная комиссия не формируется, если на выборах депутатов представительного органа муниципального образования применяется пропорциональная избирательная система.</w:t>
      </w:r>
    </w:p>
    <w:p>
      <w:pPr>
        <w:pStyle w:val="style22"/>
        <w:rPr/>
      </w:pPr>
      <w:bookmarkStart w:id="138" w:name="Lbl162"/>
      <w:bookmarkEnd w:id="138"/>
      <w:r>
        <w:rPr>
          <w:rStyle w:val="style18"/>
        </w:rPr>
        <w:t>2.</w:t>
      </w:r>
      <w:r>
        <w:rPr/>
        <w:t xml:space="preserve"> Окружные избирательные комиссии формируются избирательной комиссией муниципального образования не позднее чем за 60 дней до дня голосования в количестве 5 — 9 членов избирательной комиссии с правом решающего голоса.</w:t>
      </w:r>
    </w:p>
    <w:p>
      <w:pPr>
        <w:pStyle w:val="style41"/>
        <w:rPr/>
      </w:pPr>
      <w:bookmarkStart w:id="139" w:name="Lbl163"/>
      <w:bookmarkEnd w:id="139"/>
      <w:r>
        <w:rPr/>
        <w:t>Законом Рязанской области от 14 мая 2013 г. № 24-ОЗ в часть 3 статьи 16 главы 3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3.</w:t>
      </w:r>
      <w:r>
        <w:rPr/>
        <w:t xml:space="preserve"> Формирование окружной избирательной комиссии осуществляется избирательной комиссией муниципального образования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Рязанской областной Думе, представительном органе муниципального образования, а также предложений представительного органа муниципального образования, собраний избирателей по месту жительства, работы, службы, учебы. Формирование окружной избирательной комиссии осуществляется также на основе предложений других политических партий и иных общественных объединений.</w:t>
      </w:r>
    </w:p>
    <w:p>
      <w:pPr>
        <w:pStyle w:val="style22"/>
        <w:rPr/>
      </w:pPr>
      <w:r>
        <w:rPr/>
        <w:t>Предложения по составу окружной избирательной комиссии принимаются избирательной комиссией муниципального образования в течение десяти дней со дня официального опубликования решения о формировании данной избирательной комиссии.</w:t>
      </w:r>
    </w:p>
    <w:p>
      <w:pPr>
        <w:pStyle w:val="style22"/>
        <w:rPr/>
      </w:pPr>
      <w:bookmarkStart w:id="140" w:name="Lbl164"/>
      <w:bookmarkEnd w:id="140"/>
      <w:r>
        <w:rPr>
          <w:rStyle w:val="style18"/>
        </w:rPr>
        <w:t>4.</w:t>
      </w:r>
      <w:r>
        <w:rPr/>
        <w:t xml:space="preserve"> Избирательная комиссия муниципального образования обязана назначить не менее половины от общего числа членов окружной избирательной комиссии на основе поступивших предложений:</w:t>
      </w:r>
    </w:p>
    <w:p>
      <w:pPr>
        <w:pStyle w:val="style41"/>
        <w:rPr/>
      </w:pPr>
      <w:bookmarkStart w:id="141" w:name="Lbl1641"/>
      <w:bookmarkEnd w:id="141"/>
      <w:r>
        <w:rPr/>
        <w:t>Законом Рязанской области от 14 мая 2013 г. № 24-ОЗ в пункт 1 части 4 статьи 16 главы 3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пункта в предыдущей редакции</w:t>
      </w:r>
    </w:p>
    <w:p>
      <w:pPr>
        <w:pStyle w:val="style22"/>
        <w:rPr/>
      </w:pPr>
      <w:r>
        <w:rPr>
          <w:rStyle w:val="style18"/>
        </w:rPr>
        <w:t>1)</w:t>
      </w:r>
      <w:r>
        <w:rPr/>
        <w:t xml:space="preserve">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pPr>
        <w:pStyle w:val="style22"/>
        <w:rPr/>
      </w:pPr>
      <w:bookmarkStart w:id="142" w:name="Lbl1642"/>
      <w:bookmarkEnd w:id="142"/>
      <w:r>
        <w:rPr>
          <w:rStyle w:val="style18"/>
        </w:rPr>
        <w:t>2)</w:t>
      </w:r>
      <w:r>
        <w:rPr/>
        <w:t xml:space="preserve"> политических партий, выдвинувших списки кандидатов, допущенные к распределению депутатских мандатов в Рязанской областной Думе;</w:t>
      </w:r>
    </w:p>
    <w:p>
      <w:pPr>
        <w:pStyle w:val="style22"/>
        <w:rPr/>
      </w:pPr>
      <w:bookmarkStart w:id="143" w:name="Lbl1643"/>
      <w:bookmarkEnd w:id="143"/>
      <w:r>
        <w:rPr>
          <w:rStyle w:val="style18"/>
        </w:rPr>
        <w:t>3)</w:t>
      </w:r>
      <w:r>
        <w:rPr/>
        <w:t xml:space="preserve">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pPr>
        <w:pStyle w:val="style22"/>
        <w:rPr/>
      </w:pPr>
      <w:bookmarkStart w:id="144" w:name="Lbl165"/>
      <w:bookmarkEnd w:id="144"/>
      <w:r>
        <w:rPr>
          <w:rStyle w:val="style18"/>
        </w:rPr>
        <w:t>5.</w:t>
      </w:r>
      <w:r>
        <w:rPr/>
        <w:t xml:space="preserve"> В окружную избирательную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избирательной комиссии.</w:t>
      </w:r>
    </w:p>
    <w:p>
      <w:pPr>
        <w:pStyle w:val="style22"/>
        <w:rPr/>
      </w:pPr>
      <w:bookmarkStart w:id="145" w:name="Lbl166"/>
      <w:bookmarkEnd w:id="145"/>
      <w:r>
        <w:rPr>
          <w:rStyle w:val="style18"/>
        </w:rPr>
        <w:t>6.</w:t>
      </w:r>
      <w:r>
        <w:rPr/>
        <w:t xml:space="preserve"> Государственные и муниципальные служащие не могут составлять более одной второй от общего числа членов окружной избирательной комиссии.</w:t>
      </w:r>
    </w:p>
    <w:p>
      <w:pPr>
        <w:pStyle w:val="style22"/>
        <w:rPr/>
      </w:pPr>
      <w:bookmarkStart w:id="146" w:name="Lbl167"/>
      <w:bookmarkEnd w:id="146"/>
      <w:r>
        <w:rPr>
          <w:rStyle w:val="style18"/>
        </w:rPr>
        <w:t>7.</w:t>
      </w:r>
      <w:r>
        <w:rPr/>
        <w:t xml:space="preserve"> Избирательная комиссия муниципального образования, назначающая в состав окружной избирательной комиссии гражданина Российской Федерации, выдвинутого в соответствии с требованиями, установленными Федеральным законом «Об основных гарантиях избирательных прав и права на участие в референдуме граждан Российской Федерации», настоящим Законом, обязана получить письменное согласие указанного гражданина Российской Федерации на вхождение в состав этой избирательной комиссии.</w:t>
      </w:r>
    </w:p>
    <w:p>
      <w:pPr>
        <w:pStyle w:val="style22"/>
        <w:rPr/>
      </w:pPr>
      <w:bookmarkStart w:id="147" w:name="Lbl168"/>
      <w:bookmarkEnd w:id="147"/>
      <w:r>
        <w:rPr>
          <w:rStyle w:val="style18"/>
        </w:rPr>
        <w:t>8.</w:t>
      </w:r>
      <w:r>
        <w:rPr/>
        <w:t xml:space="preserve"> Окружная избирательная комиссия:</w:t>
      </w:r>
    </w:p>
    <w:p>
      <w:pPr>
        <w:pStyle w:val="style22"/>
        <w:rPr/>
      </w:pPr>
      <w:bookmarkStart w:id="148" w:name="Lbl1681"/>
      <w:bookmarkEnd w:id="148"/>
      <w:r>
        <w:rPr>
          <w:rStyle w:val="style18"/>
        </w:rPr>
        <w:t>1)</w:t>
      </w:r>
      <w:r>
        <w:rPr/>
        <w:t xml:space="preserve"> осуществляет на территории избирательного округа контроль за соблюдением избирательных прав граждан Российской Федерации;</w:t>
      </w:r>
    </w:p>
    <w:p>
      <w:pPr>
        <w:pStyle w:val="style22"/>
        <w:rPr/>
      </w:pPr>
      <w:bookmarkStart w:id="149" w:name="Lbl1682"/>
      <w:bookmarkEnd w:id="149"/>
      <w:r>
        <w:rPr>
          <w:rStyle w:val="style18"/>
        </w:rPr>
        <w:t>2)</w:t>
      </w:r>
      <w:r>
        <w:rPr/>
        <w:t xml:space="preserve">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pPr>
        <w:pStyle w:val="style22"/>
        <w:rPr/>
      </w:pPr>
      <w:bookmarkStart w:id="150" w:name="Lbl1683"/>
      <w:bookmarkEnd w:id="150"/>
      <w:r>
        <w:rPr>
          <w:rStyle w:val="style18"/>
        </w:rPr>
        <w:t>3)</w:t>
      </w:r>
      <w:r>
        <w:rPr/>
        <w:t xml:space="preserve"> координирует деятельность участковых избирательных комиссий на территории избирательного округа;</w:t>
      </w:r>
    </w:p>
    <w:p>
      <w:pPr>
        <w:pStyle w:val="style22"/>
        <w:rPr/>
      </w:pPr>
      <w:bookmarkStart w:id="151" w:name="Lbl1684"/>
      <w:bookmarkEnd w:id="151"/>
      <w:r>
        <w:rPr>
          <w:rStyle w:val="style18"/>
        </w:rPr>
        <w:t>4)</w:t>
      </w:r>
      <w:r>
        <w:rPr/>
        <w:t xml:space="preserve"> регистрирует кандидатов по избирательному округу, их доверенных лиц, уполномоченных представителей по финансовым вопросам, выдает им удостоверения установленного образца;</w:t>
      </w:r>
    </w:p>
    <w:p>
      <w:pPr>
        <w:pStyle w:val="style22"/>
        <w:rPr/>
      </w:pPr>
      <w:bookmarkStart w:id="152" w:name="Lbl1685"/>
      <w:bookmarkEnd w:id="152"/>
      <w:r>
        <w:rPr>
          <w:rStyle w:val="style18"/>
        </w:rPr>
        <w:t>5)</w:t>
      </w:r>
      <w:r>
        <w:rPr/>
        <w:t xml:space="preserve"> обеспечивает информирование избирателей о зарегистрированных кандидатах, доступ к сведениям о кандидатах, выдвинутых в соответствующем избирательном округе;</w:t>
      </w:r>
    </w:p>
    <w:p>
      <w:pPr>
        <w:pStyle w:val="style22"/>
        <w:rPr/>
      </w:pPr>
      <w:bookmarkStart w:id="153" w:name="Lbl1686"/>
      <w:bookmarkEnd w:id="153"/>
      <w:r>
        <w:rPr>
          <w:rStyle w:val="style18"/>
        </w:rPr>
        <w:t>6)</w:t>
      </w:r>
      <w:r>
        <w:rPr/>
        <w:t xml:space="preserve"> обеспечивает на территории избирательного округа соблюдение равных условий участия в выборах всех кандидатов;</w:t>
      </w:r>
    </w:p>
    <w:p>
      <w:pPr>
        <w:pStyle w:val="style22"/>
        <w:rPr/>
      </w:pPr>
      <w:bookmarkStart w:id="154" w:name="Lbl1687"/>
      <w:bookmarkEnd w:id="154"/>
      <w:r>
        <w:rPr>
          <w:rStyle w:val="style18"/>
        </w:rPr>
        <w:t>7)</w:t>
      </w:r>
      <w:r>
        <w:rPr/>
        <w:t xml:space="preserve"> утверждает текст избирательного бюллетеня по соответствующему одномандатному (многомандатному) избирательному округу и обеспечивает изготовление избирательных бюллетеней;</w:t>
      </w:r>
    </w:p>
    <w:p>
      <w:pPr>
        <w:pStyle w:val="style22"/>
        <w:rPr/>
      </w:pPr>
      <w:bookmarkStart w:id="155" w:name="Lbl1688"/>
      <w:bookmarkEnd w:id="155"/>
      <w:r>
        <w:rPr>
          <w:rStyle w:val="style18"/>
        </w:rPr>
        <w:t>8)</w:t>
      </w:r>
      <w:r>
        <w:rPr/>
        <w:t xml:space="preserve"> организует доставку выборной документации участковым избирательным комиссиям;</w:t>
      </w:r>
    </w:p>
    <w:p>
      <w:pPr>
        <w:pStyle w:val="style22"/>
        <w:rPr/>
      </w:pPr>
      <w:bookmarkStart w:id="156" w:name="Lbl1689"/>
      <w:bookmarkEnd w:id="156"/>
      <w:r>
        <w:rPr>
          <w:rStyle w:val="style18"/>
        </w:rPr>
        <w:t>9)</w:t>
      </w:r>
      <w:r>
        <w:rPr/>
        <w:t xml:space="preserve"> контролирует обеспечение участковых избирательных комиссий необходимыми помещениями, транспортом, средствами связи и рассматривает иные вопросы материально-технического обеспечения выборов;</w:t>
      </w:r>
    </w:p>
    <w:p>
      <w:pPr>
        <w:pStyle w:val="style22"/>
        <w:rPr/>
      </w:pPr>
      <w:bookmarkStart w:id="157" w:name="Lbl16810"/>
      <w:bookmarkEnd w:id="157"/>
      <w:r>
        <w:rPr>
          <w:rStyle w:val="style18"/>
        </w:rPr>
        <w:t>10)</w:t>
      </w:r>
      <w:r>
        <w:rPr/>
        <w:t xml:space="preserve"> оказывает правовую, организационно-техническую помощь участковым избирательным комиссиям;</w:t>
      </w:r>
    </w:p>
    <w:p>
      <w:pPr>
        <w:pStyle w:val="style22"/>
        <w:rPr/>
      </w:pPr>
      <w:bookmarkStart w:id="158" w:name="Lbl16811"/>
      <w:bookmarkEnd w:id="158"/>
      <w:r>
        <w:rPr>
          <w:rStyle w:val="style18"/>
        </w:rPr>
        <w:t>11)</w:t>
      </w:r>
      <w:r>
        <w:rPr/>
        <w:t xml:space="preserve">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pPr>
        <w:pStyle w:val="style22"/>
        <w:rPr/>
      </w:pPr>
      <w:bookmarkStart w:id="159" w:name="Lbl16812"/>
      <w:bookmarkEnd w:id="159"/>
      <w:r>
        <w:rPr>
          <w:rStyle w:val="style18"/>
        </w:rPr>
        <w:t>12)</w:t>
      </w:r>
      <w:r>
        <w:rPr/>
        <w:t xml:space="preserve"> определяет результаты выборов по избирательному округу;</w:t>
      </w:r>
    </w:p>
    <w:p>
      <w:pPr>
        <w:pStyle w:val="style22"/>
        <w:rPr/>
      </w:pPr>
      <w:bookmarkStart w:id="160" w:name="Lbl16813"/>
      <w:bookmarkEnd w:id="160"/>
      <w:r>
        <w:rPr>
          <w:rStyle w:val="style18"/>
        </w:rPr>
        <w:t>13)</w:t>
      </w:r>
      <w:r>
        <w:rPr/>
        <w:t xml:space="preserve"> публикует (обнародует) в соответствующих средствах массовой информации результаты выборов по избирательному округу;</w:t>
      </w:r>
    </w:p>
    <w:p>
      <w:pPr>
        <w:pStyle w:val="style22"/>
        <w:rPr/>
      </w:pPr>
      <w:bookmarkStart w:id="161" w:name="Lbl16814"/>
      <w:bookmarkEnd w:id="161"/>
      <w:r>
        <w:rPr>
          <w:rStyle w:val="style18"/>
        </w:rPr>
        <w:t>14)</w:t>
      </w:r>
      <w:r>
        <w:rPr/>
        <w:t xml:space="preserve"> рассматривает жалобы (заявления) на решения и действия (бездействие) участковых избирательных комиссий и принимает по указанным жалобам (заявлениям) мотивированные решения;</w:t>
      </w:r>
    </w:p>
    <w:p>
      <w:pPr>
        <w:pStyle w:val="style22"/>
        <w:rPr/>
      </w:pPr>
      <w:bookmarkStart w:id="162" w:name="Lbl16815"/>
      <w:bookmarkEnd w:id="162"/>
      <w:r>
        <w:rPr>
          <w:rStyle w:val="style18"/>
        </w:rPr>
        <w:t>15)</w:t>
      </w:r>
      <w:r>
        <w:rPr/>
        <w:t xml:space="preserve">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 настоящим Законом.</w:t>
      </w:r>
    </w:p>
    <w:p>
      <w:pPr>
        <w:pStyle w:val="style22"/>
        <w:rPr/>
      </w:pPr>
      <w:bookmarkStart w:id="163" w:name="Lbl169"/>
      <w:bookmarkEnd w:id="163"/>
      <w:r>
        <w:rPr>
          <w:rStyle w:val="style18"/>
        </w:rPr>
        <w:t>9.</w:t>
      </w:r>
      <w:r>
        <w:rPr/>
        <w:t xml:space="preserve"> Срок полномочий окружной избирательной комиссии истекает через два месяца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принятия вышестоящей избирательной комиссией решения либо со дня вступления в законную силу судебного решения по жалобе (заявлению).</w:t>
      </w:r>
    </w:p>
    <w:p>
      <w:pPr>
        <w:pStyle w:val="style47"/>
        <w:rPr/>
      </w:pPr>
      <w:bookmarkStart w:id="164" w:name="Lbl17"/>
      <w:bookmarkEnd w:id="164"/>
      <w:r>
        <w:rPr/>
        <w:t>Статья 17</w:t>
      </w:r>
    </w:p>
    <w:p>
      <w:pPr>
        <w:pStyle w:val="style46"/>
        <w:rPr/>
      </w:pPr>
      <w:r>
        <w:rPr>
          <w:rStyle w:val="style18"/>
        </w:rPr>
        <w:t>Статья 17.</w:t>
      </w:r>
      <w:r>
        <w:rPr/>
        <w:t xml:space="preserve"> Порядок формирования и полномочия участковой избирательной комиссии</w:t>
      </w:r>
    </w:p>
    <w:p>
      <w:pPr>
        <w:pStyle w:val="style41"/>
        <w:rPr/>
      </w:pPr>
      <w:bookmarkStart w:id="165" w:name="Lbl171"/>
      <w:bookmarkEnd w:id="165"/>
      <w:r>
        <w:rPr/>
        <w:t>Законом Рязанской области от 28 декабря 2012 г. № 106-ОЗ часть 1 статьи 17 главы 3 настоящего Закона изложена в новой редакции, вступающей в силу на следующий день после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1.</w:t>
      </w:r>
      <w:r>
        <w:rPr/>
        <w:t xml:space="preserve"> Участковая избирательная комиссия формируется с соблюдением общих условий и порядка формирования участковых избирательных комиссий, установленных Федеральным законом «Об основных гарантиях избирательных прав и права на участие в референдуме граждан Российской Федерации».</w:t>
      </w:r>
    </w:p>
    <w:p>
      <w:pPr>
        <w:pStyle w:val="style22"/>
        <w:rPr/>
      </w:pPr>
      <w:bookmarkStart w:id="166" w:name="Lbl172"/>
      <w:bookmarkEnd w:id="166"/>
      <w:r>
        <w:rPr>
          <w:rStyle w:val="style18"/>
        </w:rPr>
        <w:t>2.</w:t>
      </w:r>
      <w:r>
        <w:rPr/>
        <w:t xml:space="preserve"> Утратила силу.</w:t>
      </w:r>
    </w:p>
    <w:p>
      <w:pPr>
        <w:pStyle w:val="style41"/>
        <w:rPr/>
      </w:pPr>
      <w:r>
        <w:rPr/>
        <w:t>См. текст части 2 статьи 17 главы 3</w:t>
      </w:r>
    </w:p>
    <w:p>
      <w:pPr>
        <w:pStyle w:val="style22"/>
        <w:rPr/>
      </w:pPr>
      <w:bookmarkStart w:id="167" w:name="Lbl173"/>
      <w:bookmarkEnd w:id="167"/>
      <w:r>
        <w:rPr>
          <w:rStyle w:val="style18"/>
        </w:rPr>
        <w:t>3.</w:t>
      </w:r>
      <w:r>
        <w:rPr/>
        <w:t xml:space="preserve"> Утратила силу.</w:t>
      </w:r>
    </w:p>
    <w:p>
      <w:pPr>
        <w:pStyle w:val="style41"/>
        <w:rPr/>
      </w:pPr>
      <w:r>
        <w:rPr/>
        <w:t>См. текст части 3 статьи 17 главы 3</w:t>
      </w:r>
    </w:p>
    <w:p>
      <w:pPr>
        <w:pStyle w:val="style22"/>
        <w:rPr/>
      </w:pPr>
      <w:bookmarkStart w:id="168" w:name="Lbl174"/>
      <w:bookmarkEnd w:id="168"/>
      <w:r>
        <w:rPr>
          <w:rStyle w:val="style18"/>
        </w:rPr>
        <w:t>4.</w:t>
      </w:r>
      <w:r>
        <w:rPr/>
        <w:t xml:space="preserve"> Утратила силу.</w:t>
      </w:r>
    </w:p>
    <w:p>
      <w:pPr>
        <w:pStyle w:val="style41"/>
        <w:rPr/>
      </w:pPr>
      <w:r>
        <w:rPr/>
        <w:t>См. текст части 4 статьи 17 главы 3</w:t>
      </w:r>
    </w:p>
    <w:p>
      <w:pPr>
        <w:pStyle w:val="style22"/>
        <w:rPr/>
      </w:pPr>
      <w:bookmarkStart w:id="169" w:name="Lbl175"/>
      <w:bookmarkEnd w:id="169"/>
      <w:r>
        <w:rPr>
          <w:rStyle w:val="style18"/>
        </w:rPr>
        <w:t>5.</w:t>
      </w:r>
      <w:r>
        <w:rPr/>
        <w:t xml:space="preserve"> Утратила силу.</w:t>
      </w:r>
    </w:p>
    <w:p>
      <w:pPr>
        <w:pStyle w:val="style41"/>
        <w:rPr/>
      </w:pPr>
      <w:r>
        <w:rPr/>
        <w:t>См. текст части 5 статьи 17 главы 3</w:t>
      </w:r>
    </w:p>
    <w:p>
      <w:pPr>
        <w:pStyle w:val="style22"/>
        <w:rPr/>
      </w:pPr>
      <w:bookmarkStart w:id="170" w:name="Lbl176"/>
      <w:bookmarkEnd w:id="170"/>
      <w:r>
        <w:rPr>
          <w:rStyle w:val="style18"/>
        </w:rPr>
        <w:t>6.</w:t>
      </w:r>
      <w:r>
        <w:rPr/>
        <w:t xml:space="preserve"> Утратила силу.</w:t>
      </w:r>
    </w:p>
    <w:p>
      <w:pPr>
        <w:pStyle w:val="style41"/>
        <w:rPr/>
      </w:pPr>
      <w:r>
        <w:rPr/>
        <w:t>См. текст части 6 статьи 17 главы 3</w:t>
      </w:r>
    </w:p>
    <w:p>
      <w:pPr>
        <w:pStyle w:val="style22"/>
        <w:rPr/>
      </w:pPr>
      <w:bookmarkStart w:id="171" w:name="Lbl177"/>
      <w:bookmarkEnd w:id="171"/>
      <w:r>
        <w:rPr>
          <w:rStyle w:val="style18"/>
        </w:rPr>
        <w:t>7.</w:t>
      </w:r>
      <w:r>
        <w:rPr/>
        <w:t xml:space="preserve"> Участковая избирательная комиссия:</w:t>
      </w:r>
    </w:p>
    <w:p>
      <w:pPr>
        <w:pStyle w:val="style22"/>
        <w:rPr/>
      </w:pPr>
      <w:bookmarkStart w:id="172" w:name="Lbl1771"/>
      <w:bookmarkEnd w:id="172"/>
      <w:r>
        <w:rPr>
          <w:rStyle w:val="style18"/>
        </w:rPr>
        <w:t>1)</w:t>
      </w:r>
      <w:r>
        <w:rPr/>
        <w:t xml:space="preserve"> информирует население об адресе и о номерах телефонов участковой избирательной комиссии, времени ее работы, а также о дне, времени и месте голосования;</w:t>
      </w:r>
    </w:p>
    <w:p>
      <w:pPr>
        <w:pStyle w:val="style22"/>
        <w:rPr/>
      </w:pPr>
      <w:bookmarkStart w:id="173" w:name="Lbl1772"/>
      <w:bookmarkEnd w:id="173"/>
      <w:r>
        <w:rPr>
          <w:rStyle w:val="style18"/>
        </w:rPr>
        <w:t>2)</w:t>
      </w:r>
      <w:r>
        <w:rPr/>
        <w:t xml:space="preserve"> уточняет список избирателей, полученный от избирательной комиссии муниципального образования, производит ознакомление избирателей со списком избирателей, рассматривает заявления об ошибках и неточностях в данном списке и решает вопросы о внесении в него соответствующих изменений;</w:t>
      </w:r>
    </w:p>
    <w:p>
      <w:pPr>
        <w:pStyle w:val="style22"/>
        <w:rPr/>
      </w:pPr>
      <w:bookmarkStart w:id="174" w:name="Lbl1773"/>
      <w:bookmarkEnd w:id="174"/>
      <w:r>
        <w:rPr>
          <w:rStyle w:val="style18"/>
        </w:rPr>
        <w:t>3)</w:t>
      </w:r>
      <w:r>
        <w:rPr/>
        <w:t xml:space="preserve"> обеспечивает подготовку помещения для голосования, ящиков для голосования и другого оборудования;</w:t>
      </w:r>
    </w:p>
    <w:p>
      <w:pPr>
        <w:pStyle w:val="style22"/>
        <w:rPr/>
      </w:pPr>
      <w:bookmarkStart w:id="175" w:name="Lbl1774"/>
      <w:bookmarkEnd w:id="175"/>
      <w:r>
        <w:rPr>
          <w:rStyle w:val="style18"/>
        </w:rPr>
        <w:t>4)</w:t>
      </w:r>
      <w:r>
        <w:rPr/>
        <w:t xml:space="preserve"> обеспечивает информирование избирателей о зарегистрированных кандидатах на основе сведений, полученных из окружной избирательной комиссии;</w:t>
      </w:r>
    </w:p>
    <w:p>
      <w:pPr>
        <w:pStyle w:val="style22"/>
        <w:rPr/>
      </w:pPr>
      <w:bookmarkStart w:id="176" w:name="Lbl1775"/>
      <w:bookmarkEnd w:id="176"/>
      <w:r>
        <w:rPr>
          <w:rStyle w:val="style18"/>
        </w:rPr>
        <w:t>5)</w:t>
      </w:r>
      <w:r>
        <w:rPr/>
        <w:t xml:space="preserve"> контролирует соблюдение на территории избирательного участка порядка проведения предвыборной агитации;</w:t>
      </w:r>
    </w:p>
    <w:p>
      <w:pPr>
        <w:pStyle w:val="style22"/>
        <w:rPr/>
      </w:pPr>
      <w:bookmarkStart w:id="177" w:name="Lbl1776"/>
      <w:bookmarkEnd w:id="177"/>
      <w:r>
        <w:rPr>
          <w:rStyle w:val="style18"/>
        </w:rPr>
        <w:t>6)</w:t>
      </w:r>
      <w:r>
        <w:rPr/>
        <w:t xml:space="preserve"> организует на избирательном участке голосование в день выборов;</w:t>
      </w:r>
    </w:p>
    <w:p>
      <w:pPr>
        <w:pStyle w:val="style22"/>
        <w:rPr/>
      </w:pPr>
      <w:bookmarkStart w:id="178" w:name="Lbl1777"/>
      <w:bookmarkEnd w:id="178"/>
      <w:r>
        <w:rPr>
          <w:rStyle w:val="style18"/>
        </w:rPr>
        <w:t>7)</w:t>
      </w:r>
      <w:r>
        <w:rPr/>
        <w:t xml:space="preserve"> производит подсчет голосов, устанавливает итоги голосования на избирательном участке, составляет протокол об итогах голосования на избирательном участке и передает его в вышестоящую избирательную комиссию;</w:t>
      </w:r>
    </w:p>
    <w:p>
      <w:pPr>
        <w:pStyle w:val="style22"/>
        <w:rPr/>
      </w:pPr>
      <w:bookmarkStart w:id="179" w:name="Lbl1778"/>
      <w:bookmarkEnd w:id="179"/>
      <w:r>
        <w:rPr>
          <w:rStyle w:val="style18"/>
        </w:rPr>
        <w:t>8)</w:t>
      </w:r>
      <w:r>
        <w:rPr/>
        <w:t xml:space="preserve">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pPr>
        <w:pStyle w:val="style22"/>
        <w:rPr/>
      </w:pPr>
      <w:bookmarkStart w:id="180" w:name="Lbl1779"/>
      <w:bookmarkEnd w:id="180"/>
      <w:r>
        <w:rPr>
          <w:rStyle w:val="style18"/>
        </w:rPr>
        <w:t>9)</w:t>
      </w:r>
      <w:r>
        <w:rPr/>
        <w:t xml:space="preserve"> рассматривает в пределах своих полномочий жалобы (заявления) на нарушения Федерального закона «Об основных гарантиях избирательных прав и права на участие в референдуме граждан Российской Федерации», настоящего Закона и принимает по указанным жалобам (заявлениям) мотивированные решения;</w:t>
      </w:r>
    </w:p>
    <w:p>
      <w:pPr>
        <w:pStyle w:val="style22"/>
        <w:rPr/>
      </w:pPr>
      <w:bookmarkStart w:id="181" w:name="Lbl17710"/>
      <w:bookmarkEnd w:id="181"/>
      <w:r>
        <w:rPr>
          <w:rStyle w:val="style18"/>
        </w:rPr>
        <w:t>10)</w:t>
      </w:r>
      <w:r>
        <w:rPr/>
        <w:t xml:space="preserve"> обеспечивает хранение и передачу в окружную избирательную комиссию или избирательную комиссию муниципального образования документов, связанных с подготовкой и проведением выборов депутатов представительного органа муниципального образования;</w:t>
      </w:r>
    </w:p>
    <w:p>
      <w:pPr>
        <w:pStyle w:val="style22"/>
        <w:rPr/>
      </w:pPr>
      <w:bookmarkStart w:id="182" w:name="Lbl17711"/>
      <w:bookmarkEnd w:id="182"/>
      <w:r>
        <w:rPr>
          <w:rStyle w:val="style18"/>
        </w:rPr>
        <w:t>11)</w:t>
      </w:r>
      <w:r>
        <w:rPr/>
        <w:t xml:space="preserve">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 настоящим Законом.</w:t>
      </w:r>
    </w:p>
    <w:p>
      <w:pPr>
        <w:pStyle w:val="style22"/>
        <w:rPr/>
      </w:pPr>
      <w:bookmarkStart w:id="183" w:name="Lbl178"/>
      <w:bookmarkEnd w:id="183"/>
      <w:r>
        <w:rPr>
          <w:rStyle w:val="style18"/>
        </w:rPr>
        <w:t>8.</w:t>
      </w:r>
      <w:r>
        <w:rPr/>
        <w:t xml:space="preserve"> Утратила силу.</w:t>
      </w:r>
    </w:p>
    <w:p>
      <w:pPr>
        <w:pStyle w:val="style41"/>
        <w:rPr/>
      </w:pPr>
      <w:r>
        <w:rPr/>
        <w:t>См. текст части 8 статьи 17 главы 3</w:t>
      </w:r>
    </w:p>
    <w:p>
      <w:pPr>
        <w:pStyle w:val="style22"/>
        <w:rPr/>
      </w:pPr>
      <w:bookmarkStart w:id="184" w:name="Lbl179"/>
      <w:bookmarkEnd w:id="184"/>
      <w:r>
        <w:rPr>
          <w:rStyle w:val="style18"/>
        </w:rPr>
        <w:t>9.</w:t>
      </w:r>
      <w:r>
        <w:rPr/>
        <w:t xml:space="preserve"> Утратила силу.</w:t>
      </w:r>
    </w:p>
    <w:p>
      <w:pPr>
        <w:pStyle w:val="style41"/>
        <w:rPr/>
      </w:pPr>
      <w:r>
        <w:rPr/>
        <w:t xml:space="preserve">См. текст части 9 статьи 17 главы </w:t>
      </w:r>
    </w:p>
    <w:p>
      <w:pPr>
        <w:pStyle w:val="style47"/>
        <w:rPr/>
      </w:pPr>
      <w:bookmarkStart w:id="185" w:name="Lbl18"/>
      <w:bookmarkEnd w:id="185"/>
      <w:r>
        <w:rPr/>
        <w:t>Статья 18</w:t>
      </w:r>
    </w:p>
    <w:p>
      <w:pPr>
        <w:pStyle w:val="style46"/>
        <w:rPr/>
      </w:pPr>
      <w:r>
        <w:rPr>
          <w:rStyle w:val="style18"/>
        </w:rPr>
        <w:t>Статья 18</w:t>
      </w:r>
      <w:r>
        <w:rPr/>
        <w:t>. Полномочия Избирательной комиссии Рязанской области при подготовке и проведении выборов депутатов представительного органа муниципального образования</w:t>
      </w:r>
    </w:p>
    <w:p>
      <w:pPr>
        <w:pStyle w:val="style22"/>
        <w:rPr/>
      </w:pPr>
      <w:r>
        <w:rPr/>
        <w:t>Избирательная комиссия Рязанской области:</w:t>
      </w:r>
    </w:p>
    <w:p>
      <w:pPr>
        <w:pStyle w:val="style22"/>
        <w:rPr/>
      </w:pPr>
      <w:bookmarkStart w:id="186" w:name="Lbl181"/>
      <w:bookmarkEnd w:id="186"/>
      <w:r>
        <w:rPr>
          <w:rStyle w:val="style18"/>
        </w:rPr>
        <w:t>1)</w:t>
      </w:r>
      <w:r>
        <w:rPr/>
        <w:t xml:space="preserve"> контролирует соблюдение избирательных прав граждан при проведении выборов депутатов представительного органа муниципального образования;</w:t>
      </w:r>
    </w:p>
    <w:p>
      <w:pPr>
        <w:pStyle w:val="style22"/>
        <w:rPr/>
      </w:pPr>
      <w:bookmarkStart w:id="187" w:name="Lbl182"/>
      <w:bookmarkEnd w:id="187"/>
      <w:r>
        <w:rPr>
          <w:rStyle w:val="style18"/>
        </w:rPr>
        <w:t>2)</w:t>
      </w:r>
      <w:r>
        <w:rPr/>
        <w:t xml:space="preserve"> оказывает организационно-техническую, методическую и правовую помощь избирательным комиссиям на выборах депутатов представительного органа муниципального образования;</w:t>
      </w:r>
    </w:p>
    <w:p>
      <w:pPr>
        <w:pStyle w:val="style22"/>
        <w:rPr/>
      </w:pPr>
      <w:bookmarkStart w:id="188" w:name="Lbl183"/>
      <w:bookmarkEnd w:id="188"/>
      <w:r>
        <w:rPr>
          <w:rStyle w:val="style18"/>
        </w:rPr>
        <w:t>3)</w:t>
      </w:r>
      <w:r>
        <w:rPr/>
        <w:t xml:space="preserve"> обеспечивает и контролирует соблюдение нормативов технологического оборудования (кабины для голосования, ящики для голосования), необходимого для работы избирательных комиссий;</w:t>
      </w:r>
    </w:p>
    <w:p>
      <w:pPr>
        <w:pStyle w:val="style22"/>
        <w:rPr/>
      </w:pPr>
      <w:bookmarkStart w:id="189" w:name="Lbl184"/>
      <w:bookmarkEnd w:id="189"/>
      <w:r>
        <w:rPr>
          <w:rStyle w:val="style18"/>
        </w:rPr>
        <w:t>4)</w:t>
      </w:r>
      <w:r>
        <w:rPr/>
        <w:t xml:space="preserve"> заслушивает сообщения органов исполнительной власти Рязанской области, органов местного самоуправления по вопросам, связанным с подготовкой и проведением выборов;</w:t>
      </w:r>
    </w:p>
    <w:p>
      <w:pPr>
        <w:pStyle w:val="style22"/>
        <w:rPr/>
      </w:pPr>
      <w:bookmarkStart w:id="190" w:name="Lbl185"/>
      <w:bookmarkEnd w:id="190"/>
      <w:r>
        <w:rPr>
          <w:rStyle w:val="style18"/>
        </w:rPr>
        <w:t>5)</w:t>
      </w:r>
      <w:r>
        <w:rPr/>
        <w:t xml:space="preserve"> издает инструкции для обеспечения единообразного применения настоящего Закона;</w:t>
      </w:r>
    </w:p>
    <w:p>
      <w:pPr>
        <w:pStyle w:val="style41"/>
        <w:rPr/>
      </w:pPr>
      <w:bookmarkStart w:id="191" w:name="Lbl186"/>
      <w:bookmarkEnd w:id="191"/>
      <w:r>
        <w:rPr/>
        <w:t>Законом Рязанской области от 14 мая 2013 г. № 24-ОЗ пункт 6 статьи 18 главы 3 настоящего Закона изложен в новой редакции, вступающей в силу через десять дней после дня официального опубликования названного Закона</w:t>
      </w:r>
    </w:p>
    <w:p>
      <w:pPr>
        <w:pStyle w:val="style41"/>
        <w:rPr/>
      </w:pPr>
      <w:r>
        <w:rPr/>
        <w:t>См. текст пункта в предыдущей редакции</w:t>
      </w:r>
    </w:p>
    <w:p>
      <w:pPr>
        <w:pStyle w:val="style22"/>
        <w:rPr/>
      </w:pPr>
      <w:r>
        <w:rPr>
          <w:rStyle w:val="style18"/>
        </w:rPr>
        <w:t>6)</w:t>
      </w:r>
      <w:r>
        <w:rPr/>
        <w:t xml:space="preserve">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и другие избирательные документы;</w:t>
      </w:r>
    </w:p>
    <w:p>
      <w:pPr>
        <w:pStyle w:val="style22"/>
        <w:rPr/>
      </w:pPr>
      <w:bookmarkStart w:id="192" w:name="Lbl187"/>
      <w:bookmarkEnd w:id="192"/>
      <w:r>
        <w:rPr>
          <w:rStyle w:val="style18"/>
        </w:rPr>
        <w:t>7)</w:t>
      </w:r>
      <w:r>
        <w:rPr/>
        <w:t xml:space="preserve"> контролирует обеспечение избирательных комиссий помещениями, транспортом, связью;</w:t>
      </w:r>
    </w:p>
    <w:p>
      <w:pPr>
        <w:pStyle w:val="style22"/>
        <w:rPr/>
      </w:pPr>
      <w:bookmarkStart w:id="193" w:name="Lbl188"/>
      <w:bookmarkEnd w:id="193"/>
      <w:r>
        <w:rPr>
          <w:rStyle w:val="style18"/>
        </w:rPr>
        <w:t>8)</w:t>
      </w:r>
      <w:r>
        <w:rPr/>
        <w:t xml:space="preserve"> обобщает информацию об итогах выборов депутатов представительного органа муниципального образования с представлением в установленном порядке соответствующей информации в Центральную избирательную комиссию Российской Федерации;</w:t>
      </w:r>
    </w:p>
    <w:p>
      <w:pPr>
        <w:pStyle w:val="style22"/>
        <w:rPr/>
      </w:pPr>
      <w:bookmarkStart w:id="194" w:name="Lbl189"/>
      <w:bookmarkEnd w:id="194"/>
      <w:r>
        <w:rPr>
          <w:rStyle w:val="style18"/>
        </w:rPr>
        <w:t>9)</w:t>
      </w:r>
      <w:r>
        <w:rPr/>
        <w:t xml:space="preserve"> принимает решения в соответствии с </w:t>
      </w:r>
      <w:hyperlink w:anchor="Lbl753">
        <w:r>
          <w:rPr>
            <w:rStyle w:val="style17"/>
          </w:rPr>
          <w:t>частью 3 статьи 75</w:t>
        </w:r>
      </w:hyperlink>
      <w:r>
        <w:rPr/>
        <w:t xml:space="preserve"> настоящего Закона;</w:t>
      </w:r>
    </w:p>
    <w:p>
      <w:pPr>
        <w:pStyle w:val="style22"/>
        <w:rPr/>
      </w:pPr>
      <w:bookmarkStart w:id="195" w:name="Lbl1810"/>
      <w:bookmarkEnd w:id="195"/>
      <w:r>
        <w:rPr>
          <w:rStyle w:val="style18"/>
        </w:rPr>
        <w:t>10)</w:t>
      </w:r>
      <w:r>
        <w:rPr/>
        <w:t xml:space="preserve"> формирует избирательную комиссию вновь образованного муниципального образования;</w:t>
      </w:r>
    </w:p>
    <w:p>
      <w:pPr>
        <w:pStyle w:val="style22"/>
        <w:rPr/>
      </w:pPr>
      <w:bookmarkStart w:id="196" w:name="Lbl1811"/>
      <w:bookmarkEnd w:id="196"/>
      <w:r>
        <w:rPr>
          <w:rStyle w:val="style18"/>
        </w:rPr>
        <w:t>11)</w:t>
      </w:r>
      <w:r>
        <w:rPr/>
        <w:t xml:space="preserve"> представляет по запросу избирательной комиссии муниципального образования сведения о численности на соответствующей территории избирателей, являющихся инвалидами, с указанием групп инвалидности;</w:t>
      </w:r>
    </w:p>
    <w:p>
      <w:pPr>
        <w:pStyle w:val="style22"/>
        <w:rPr/>
      </w:pPr>
      <w:bookmarkStart w:id="197" w:name="Lbl1812"/>
      <w:bookmarkEnd w:id="197"/>
      <w:r>
        <w:rPr>
          <w:rStyle w:val="style18"/>
        </w:rPr>
        <w:t>12)</w:t>
      </w:r>
      <w:r>
        <w:rPr/>
        <w:t xml:space="preserve"> осуществляет иные полномочия, предусмотренные федеральными законами, настоящим Законом и иными законами Рязанской области.</w:t>
      </w:r>
    </w:p>
    <w:p>
      <w:pPr>
        <w:pStyle w:val="style47"/>
        <w:rPr/>
      </w:pPr>
      <w:bookmarkStart w:id="198" w:name="Lbl19"/>
      <w:bookmarkEnd w:id="198"/>
      <w:r>
        <w:rPr/>
        <w:t>Статья 19</w:t>
      </w:r>
    </w:p>
    <w:p>
      <w:pPr>
        <w:pStyle w:val="style46"/>
        <w:rPr/>
      </w:pPr>
      <w:r>
        <w:rPr>
          <w:rStyle w:val="style18"/>
        </w:rPr>
        <w:t>Статья 19.</w:t>
      </w:r>
      <w:r>
        <w:rPr/>
        <w:t xml:space="preserve"> Организация деятельности избирательных комиссий. Содействие избирательным комиссиям в реализации их полномочий</w:t>
      </w:r>
    </w:p>
    <w:p>
      <w:pPr>
        <w:pStyle w:val="style22"/>
        <w:rPr/>
      </w:pPr>
      <w:bookmarkStart w:id="199" w:name="Lbl191"/>
      <w:bookmarkEnd w:id="199"/>
      <w:r>
        <w:rPr>
          <w:rStyle w:val="style18"/>
        </w:rPr>
        <w:t>1.</w:t>
      </w:r>
      <w:r>
        <w:rPr/>
        <w:t xml:space="preserve"> Деятельность избирательных комиссий организуется в соответствии со статьей 28 Федерального закона «Об основных гарантиях избирательных прав и права на участие в референдуме граждан Российской Федерации».</w:t>
      </w:r>
    </w:p>
    <w:p>
      <w:pPr>
        <w:pStyle w:val="style22"/>
        <w:rPr/>
      </w:pPr>
      <w:bookmarkStart w:id="200" w:name="Lbl192"/>
      <w:bookmarkEnd w:id="200"/>
      <w:r>
        <w:rPr>
          <w:rStyle w:val="style18"/>
        </w:rPr>
        <w:t>2.</w:t>
      </w:r>
      <w:r>
        <w:rPr/>
        <w:t xml:space="preserve"> Органы местного самоуправления, муниципальные учреждения, а также их должностные лица обязаны оказывать содействие избирательным комиссиям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настоящим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pPr>
        <w:pStyle w:val="style22"/>
        <w:rPr/>
      </w:pPr>
      <w:bookmarkStart w:id="201" w:name="Lbl193"/>
      <w:bookmarkEnd w:id="201"/>
      <w:r>
        <w:rPr>
          <w:rStyle w:val="style18"/>
        </w:rPr>
        <w:t>3.</w:t>
      </w:r>
      <w:r>
        <w:rPr/>
        <w:t xml:space="preserve"> Организации, в уставном (складочном) капитале которых доля (вклад) муниципального образования превышает 30 процентов на день официального опубликования (публикации) решения о назначении выборов депутатов представительного органа муниципального образования,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pPr>
        <w:pStyle w:val="style22"/>
        <w:rPr/>
      </w:pPr>
      <w:bookmarkStart w:id="202" w:name="Lbl194"/>
      <w:bookmarkEnd w:id="202"/>
      <w:r>
        <w:rPr>
          <w:rStyle w:val="style18"/>
        </w:rPr>
        <w:t>4.</w:t>
      </w:r>
      <w:r>
        <w:rPr/>
        <w:t xml:space="preserve"> Муниципальные организации, осуществляющие теле- и (или) радиовещание (далее — организации телерадиовещания), безвозмездно предоставляют избирательной комиссии муниципального образования по согласованию с ней не менее десяти минут эфирного времени еженедельно для разъяснения законодательства о выборах депутатов представительного органа муниципального образования, информирования о ходе подготовки и проведения выборов депутатов представительного органа муниципального образования, о сроках и порядке осуществления избирательных действий, о кандидатах, избирательных объединениях, выдвинувших кандидатов, списки кандидатов. Редакции муниципальных периодических печатных изданий, выходящих не реже одного раза в неделю, а в случае отсутствия их на территории проведения выборов — редакции государственных периодических печатных изданий, подпадающих под действие </w:t>
      </w:r>
      <w:hyperlink w:anchor="Lbl4422">
        <w:r>
          <w:rPr>
            <w:rStyle w:val="style17"/>
          </w:rPr>
          <w:t>пункта 2 части 2 статьи 44</w:t>
        </w:r>
      </w:hyperlink>
      <w:r>
        <w:rPr/>
        <w:t xml:space="preserve"> настоящего Закона и выходящих не реже одного раза в неделю, безвозмездно предоставляют избирательной комиссии муниципального образования по согласованию с ней печатные площади для разъяснения законодательства о выборах депутатов представительного органа муниципального образования, информирования о ходе подготовки и проведения выборов депутатов представительного органа муниципального образования, о сроках и порядке осуществления избирательных действий, о кандидатах, избирательных объединениях, выдвинувших кандидатов, списки кандидатов. При этом расходы организаций телерадиовещания и редакций периодических печатных изданий относятся на результаты деятельности этих организаций и редакций.</w:t>
      </w:r>
    </w:p>
    <w:p>
      <w:pPr>
        <w:pStyle w:val="style22"/>
        <w:rPr/>
      </w:pPr>
      <w:bookmarkStart w:id="203" w:name="Lbl195"/>
      <w:bookmarkEnd w:id="203"/>
      <w:r>
        <w:rPr>
          <w:rStyle w:val="style18"/>
        </w:rPr>
        <w:t>5.</w:t>
      </w:r>
      <w:r>
        <w:rPr/>
        <w:t xml:space="preserve">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представляются избирательным комиссиям безвозмездно.</w:t>
      </w:r>
    </w:p>
    <w:p>
      <w:pPr>
        <w:pStyle w:val="style47"/>
        <w:rPr/>
      </w:pPr>
      <w:bookmarkStart w:id="204" w:name="Lbl20"/>
      <w:bookmarkEnd w:id="204"/>
      <w:r>
        <w:rPr/>
        <w:t>Статья 20</w:t>
      </w:r>
    </w:p>
    <w:p>
      <w:pPr>
        <w:pStyle w:val="style46"/>
        <w:rPr/>
      </w:pPr>
      <w:r>
        <w:rPr>
          <w:rStyle w:val="style18"/>
        </w:rPr>
        <w:t>Статья 20</w:t>
      </w:r>
      <w:r>
        <w:rPr/>
        <w:t>. Статус членов избирательных комиссий</w:t>
      </w:r>
    </w:p>
    <w:p>
      <w:pPr>
        <w:pStyle w:val="style22"/>
        <w:rPr/>
      </w:pPr>
      <w:r>
        <w:rPr/>
        <w:t>Статус членов избирательных комиссий с правом решающего голоса, статус членов избирательных комиссий с правом совещательного голоса устанавливаются статьей 29 Федерального закона «Об основных гарантиях избирательных прав и права на участие в референдуме граждан Российской Федерации», законом, иным нормативным правовым актом Рязанской области, уставом муниципального образования, нормативными правовыми актами органов местного самоуправления.</w:t>
      </w:r>
    </w:p>
    <w:p>
      <w:pPr>
        <w:pStyle w:val="style47"/>
        <w:rPr/>
      </w:pPr>
      <w:bookmarkStart w:id="205" w:name="Lbl21"/>
      <w:bookmarkEnd w:id="205"/>
      <w:r>
        <w:rPr/>
        <w:t>Статья 21</w:t>
      </w:r>
    </w:p>
    <w:p>
      <w:pPr>
        <w:pStyle w:val="style46"/>
        <w:rPr/>
      </w:pPr>
      <w:r>
        <w:rPr>
          <w:rStyle w:val="style18"/>
        </w:rPr>
        <w:t>Статья 21</w:t>
      </w:r>
      <w:r>
        <w:rPr/>
        <w:t>. Гласность в деятельности избирательных комиссий</w:t>
      </w:r>
    </w:p>
    <w:p>
      <w:pPr>
        <w:pStyle w:val="style22"/>
        <w:rPr/>
      </w:pPr>
      <w:bookmarkStart w:id="206" w:name="Lbl211"/>
      <w:bookmarkEnd w:id="206"/>
      <w:r>
        <w:rPr>
          <w:rStyle w:val="style18"/>
        </w:rPr>
        <w:t>1.</w:t>
      </w:r>
      <w:r>
        <w:rPr/>
        <w:t xml:space="preserve"> На всех заседаниях избирательной комиссии, а также при подсчете голосов избирателей и осуществлении участковой избирательной комиссией работы со списками избирателей, с избирательными бюллетенями, протоколами об итогах голосования вправе присутствовать члены вышестоящих избирательных комиссий и работники их аппаратов, зарегистрированный кандидат или его доверенное лицо, уполномоченный представитель или доверенное лицо избирательного объединения, список кандидатов которого зарегистрирован, или кандидат из указанного списка. Для присутствия на заседаниях избирательной комиссии и при осуществлении ею работы с вышеуказанными избирательными документами указанным лицам не требуется дополнительное разрешение. Соответствующая избирательная комиссия обязана обеспечить оповещение и возможность свободного доступа указанных лиц на заседания и в помещение, в котором проводится подсчет голосов избирателей, осуществляется работа с вышеуказанными избирательными документами. На всех заседаниях избирательной комиссии и при осуществлении работы с вышеуказанными избирательными документами, а также при подсчете голосов избирателей вправе присутствовать представители средств массовой информации.</w:t>
      </w:r>
    </w:p>
    <w:p>
      <w:pPr>
        <w:pStyle w:val="style22"/>
        <w:rPr/>
      </w:pPr>
      <w:bookmarkStart w:id="207" w:name="Lbl212"/>
      <w:bookmarkEnd w:id="207"/>
      <w:r>
        <w:rPr>
          <w:rStyle w:val="style18"/>
        </w:rPr>
        <w:t>2.</w:t>
      </w:r>
      <w:r>
        <w:rPr/>
        <w:t xml:space="preserve"> Решения избирательных комиссий, непосредственно связанные с подготовкой и проведением выборов, публикуются в муниципальных периодических печатных изданиях, а в случае отсутствия их на территории проведения выборов — в государственных периодических печатных изданиях, подпадающих под действие </w:t>
      </w:r>
      <w:hyperlink w:anchor="Lbl4422">
        <w:r>
          <w:rPr>
            <w:rStyle w:val="style17"/>
          </w:rPr>
          <w:t>пункта 2 части 2 статьи 44</w:t>
        </w:r>
      </w:hyperlink>
      <w:r>
        <w:rPr/>
        <w:t xml:space="preserve"> настоящего Закона либо доводятся до сведения избирателей иным путем, а также передаются в иные средства массовой информации не позднее чем через два дня после их принятия.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pPr>
        <w:pStyle w:val="style22"/>
        <w:rPr/>
      </w:pPr>
      <w:bookmarkStart w:id="208" w:name="Lbl213"/>
      <w:bookmarkEnd w:id="208"/>
      <w:r>
        <w:rPr>
          <w:rStyle w:val="style18"/>
        </w:rPr>
        <w:t>3.</w:t>
      </w:r>
      <w:r>
        <w:rPr/>
        <w:t xml:space="preserve"> С момента начала работы участковой избирательной комиссии в день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w:t>
      </w:r>
      <w:hyperlink w:anchor="Lbl211">
        <w:r>
          <w:rPr>
            <w:rStyle w:val="style17"/>
          </w:rPr>
          <w:t>части 1</w:t>
        </w:r>
      </w:hyperlink>
      <w:r>
        <w:rPr/>
        <w:t xml:space="preserve"> настоящей статьи, а также наблюдатели, иностранные (международные) наблюдатели.</w:t>
      </w:r>
    </w:p>
    <w:p>
      <w:pPr>
        <w:pStyle w:val="style41"/>
        <w:rPr/>
      </w:pPr>
      <w:bookmarkStart w:id="209" w:name="Lbl214"/>
      <w:bookmarkEnd w:id="209"/>
      <w:r>
        <w:rPr/>
        <w:t>Законом Рязанской области от 14 мая 2013 г. № 24-ОЗ в часть 4 статьи 21 главы 3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4.</w:t>
      </w:r>
      <w:r>
        <w:rPr/>
        <w:t xml:space="preserve">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избирательных комиссий с правом решающего голоса.</w:t>
      </w:r>
    </w:p>
    <w:p>
      <w:pPr>
        <w:pStyle w:val="style22"/>
        <w:rPr/>
      </w:pPr>
      <w:bookmarkStart w:id="210" w:name="Lbl215"/>
      <w:bookmarkEnd w:id="210"/>
      <w:r>
        <w:rPr>
          <w:rStyle w:val="style18"/>
        </w:rPr>
        <w:t>5.</w:t>
      </w:r>
      <w:r>
        <w:rPr/>
        <w:t xml:space="preserve"> В помещение участковой избирательной комиссии, сформированной на избирательном участке,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должен быть обеспечен доступ всем членам участковой избирательной комиссии, лицам, указанным в </w:t>
      </w:r>
      <w:hyperlink w:anchor="Lbl211">
        <w:r>
          <w:rPr>
            <w:rStyle w:val="style17"/>
          </w:rPr>
          <w:t>части 1</w:t>
        </w:r>
      </w:hyperlink>
      <w:r>
        <w:rPr/>
        <w:t xml:space="preserve"> настоящей статьи, наблюдателям.</w:t>
      </w:r>
    </w:p>
    <w:p>
      <w:pPr>
        <w:pStyle w:val="style22"/>
        <w:rPr/>
      </w:pPr>
      <w:bookmarkStart w:id="211" w:name="Lbl216"/>
      <w:bookmarkEnd w:id="211"/>
      <w:r>
        <w:rPr>
          <w:rStyle w:val="style18"/>
        </w:rPr>
        <w:t>6.</w:t>
      </w:r>
      <w:r>
        <w:rPr/>
        <w:t xml:space="preserve"> Наблюдатели, иностранные (международные) наблюдатели вправе присутствовать в иных избирательных комиссиях при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pPr>
        <w:pStyle w:val="style41"/>
        <w:rPr/>
      </w:pPr>
      <w:bookmarkStart w:id="212" w:name="Lbl217"/>
      <w:bookmarkEnd w:id="212"/>
      <w:r>
        <w:rPr/>
        <w:t>Законом Рязанской области от 14 мая 2013 г. № 24-ОЗ в часть 7 статьи 21 главы 3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7.</w:t>
      </w:r>
      <w:r>
        <w:rPr/>
        <w:t xml:space="preserve">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он направляется, а также делается запись об отсутствии ограничений, предусмотренных </w:t>
      </w:r>
      <w:hyperlink w:anchor="Lbl214">
        <w:r>
          <w:rPr>
            <w:rStyle w:val="style17"/>
          </w:rPr>
          <w:t>частью 4</w:t>
        </w:r>
      </w:hyperlink>
      <w:r>
        <w:rP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w:t>
      </w:r>
    </w:p>
    <w:p>
      <w:pPr>
        <w:pStyle w:val="style41"/>
        <w:rPr/>
      </w:pPr>
      <w:bookmarkStart w:id="213" w:name="Lbl218"/>
      <w:bookmarkEnd w:id="213"/>
      <w:r>
        <w:rPr/>
        <w:t>Законом Рязанской области от 14 мая 2013 г. № 24-ОЗ в часть 8 статьи 21 главы 3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8.</w:t>
      </w:r>
      <w:r>
        <w:rPr/>
        <w:t xml:space="preserve"> Документ, указанный в </w:t>
      </w:r>
      <w:hyperlink w:anchor="Lbl217">
        <w:r>
          <w:rPr>
            <w:rStyle w:val="style17"/>
          </w:rPr>
          <w:t>части 7</w:t>
        </w:r>
      </w:hyperlink>
      <w:r>
        <w:rPr/>
        <w:t xml:space="preserve"> настоящей статьи, может быть предъявлен в участковую избирательную комиссию в период, указанный в </w:t>
      </w:r>
      <w:hyperlink w:anchor="Lbl213">
        <w:r>
          <w:rPr>
            <w:rStyle w:val="style17"/>
          </w:rPr>
          <w:t>части 3</w:t>
        </w:r>
      </w:hyperlink>
      <w:r>
        <w:rPr/>
        <w:t xml:space="preserve"> настоящей статьи, в избирательную комиссию муниципального образования — в период с начала голосования на избирательных участках до окончания составления протокола о результатах выборов. При этом 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представляющими интересы одного зарегистрированного кандидата, избирательного объединения.</w:t>
      </w:r>
    </w:p>
    <w:p>
      <w:pPr>
        <w:pStyle w:val="style22"/>
        <w:rPr/>
      </w:pPr>
      <w:bookmarkStart w:id="214" w:name="Lbl219"/>
      <w:bookmarkEnd w:id="214"/>
      <w:r>
        <w:rPr>
          <w:rStyle w:val="style18"/>
        </w:rPr>
        <w:t>9.</w:t>
      </w:r>
      <w:r>
        <w:rPr/>
        <w:t xml:space="preserve"> Наблюдатели вправе:</w:t>
      </w:r>
    </w:p>
    <w:p>
      <w:pPr>
        <w:pStyle w:val="style22"/>
        <w:rPr/>
      </w:pPr>
      <w:bookmarkStart w:id="215" w:name="Lbl2191"/>
      <w:bookmarkEnd w:id="215"/>
      <w:r>
        <w:rPr>
          <w:rStyle w:val="style18"/>
        </w:rPr>
        <w:t>1)</w:t>
      </w:r>
      <w:r>
        <w:rPr/>
        <w:t xml:space="preserve"> знакомиться со списками избирателей, реестром заявлений (обращений) о голосовании вне помещения для голосования;</w:t>
      </w:r>
    </w:p>
    <w:p>
      <w:pPr>
        <w:pStyle w:val="style22"/>
        <w:rPr/>
      </w:pPr>
      <w:bookmarkStart w:id="216" w:name="Lbl2192"/>
      <w:bookmarkEnd w:id="216"/>
      <w:r>
        <w:rPr>
          <w:rStyle w:val="style18"/>
        </w:rPr>
        <w:t>2)</w:t>
      </w:r>
      <w:r>
        <w:rPr/>
        <w:t xml:space="preserve"> находиться в помещении для голосования соответствующего избирательного участка в день голосования, а также в любое время в период, указанный в </w:t>
      </w:r>
      <w:hyperlink w:anchor="Lbl213">
        <w:r>
          <w:rPr>
            <w:rStyle w:val="style17"/>
          </w:rPr>
          <w:t>части 3</w:t>
        </w:r>
      </w:hyperlink>
      <w:r>
        <w:rPr/>
        <w:t xml:space="preserve"> настоящей статьи;</w:t>
      </w:r>
    </w:p>
    <w:p>
      <w:pPr>
        <w:pStyle w:val="style22"/>
        <w:rPr/>
      </w:pPr>
      <w:bookmarkStart w:id="217" w:name="Lbl2193"/>
      <w:bookmarkEnd w:id="217"/>
      <w:r>
        <w:rPr>
          <w:rStyle w:val="style18"/>
        </w:rPr>
        <w:t>3)</w:t>
      </w:r>
      <w:r>
        <w:rPr/>
        <w:t xml:space="preserve"> наблюдать за выдачей избирательных бюллетеней избирателям;</w:t>
      </w:r>
    </w:p>
    <w:p>
      <w:pPr>
        <w:pStyle w:val="style22"/>
        <w:rPr/>
      </w:pPr>
      <w:bookmarkStart w:id="218" w:name="Lbl2194"/>
      <w:bookmarkEnd w:id="218"/>
      <w:r>
        <w:rPr>
          <w:rStyle w:val="style18"/>
        </w:rPr>
        <w:t>4)</w:t>
      </w:r>
      <w:r>
        <w:rPr/>
        <w:t xml:space="preserve"> присутствовать при голосовании избирателей вне помещения для голосования;</w:t>
      </w:r>
    </w:p>
    <w:p>
      <w:pPr>
        <w:pStyle w:val="style22"/>
        <w:rPr/>
      </w:pPr>
      <w:bookmarkStart w:id="219" w:name="Lbl2195"/>
      <w:bookmarkEnd w:id="219"/>
      <w:r>
        <w:rPr>
          <w:rStyle w:val="style18"/>
        </w:rPr>
        <w:t>5)</w:t>
      </w:r>
      <w:r>
        <w:rPr/>
        <w:t xml:space="preserve">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Lbl213">
        <w:r>
          <w:rPr>
            <w:rStyle w:val="style17"/>
          </w:rPr>
          <w:t>части 3</w:t>
        </w:r>
      </w:hyperlink>
      <w:r>
        <w:rPr/>
        <w:t xml:space="preserve"> настоящей статьи;</w:t>
      </w:r>
    </w:p>
    <w:p>
      <w:pPr>
        <w:pStyle w:val="style22"/>
        <w:rPr/>
      </w:pPr>
      <w:bookmarkStart w:id="220" w:name="Lbl2196"/>
      <w:bookmarkEnd w:id="220"/>
      <w:r>
        <w:rPr>
          <w:rStyle w:val="style18"/>
        </w:rPr>
        <w:t>6)</w:t>
      </w:r>
      <w:r>
        <w:rPr/>
        <w:t xml:space="preserve">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pPr>
        <w:pStyle w:val="style22"/>
        <w:rPr/>
      </w:pPr>
      <w:bookmarkStart w:id="221" w:name="Lbl2197"/>
      <w:bookmarkEnd w:id="221"/>
      <w:r>
        <w:rPr>
          <w:rStyle w:val="style18"/>
        </w:rPr>
        <w:t>7)</w:t>
      </w:r>
      <w:r>
        <w:rPr/>
        <w:t xml:space="preserve"> знакомиться с протоколами соответствующей избирательной комиссии, нижестоящих избирательных комиссий об итогах голосования,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pPr>
        <w:pStyle w:val="style41"/>
        <w:rPr/>
      </w:pPr>
      <w:bookmarkStart w:id="222" w:name="Lbl2198"/>
      <w:bookmarkEnd w:id="222"/>
      <w:r>
        <w:rPr/>
        <w:t>Законом Рязанской области от 14 мая 2013 г. № 24-ОЗ в пункт 8 части 9 статьи 21 главы 3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пункта в предыдущей редакции</w:t>
      </w:r>
    </w:p>
    <w:p>
      <w:pPr>
        <w:pStyle w:val="style22"/>
        <w:rPr/>
      </w:pPr>
      <w:r>
        <w:rPr>
          <w:rStyle w:val="style18"/>
        </w:rPr>
        <w:t>8)</w:t>
      </w:r>
      <w:r>
        <w:rPr/>
        <w:t xml:space="preserve">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направившего наблюдателя в избирательную комиссию;</w:t>
      </w:r>
    </w:p>
    <w:p>
      <w:pPr>
        <w:pStyle w:val="style22"/>
        <w:rPr/>
      </w:pPr>
      <w:bookmarkStart w:id="223" w:name="Lbl2199"/>
      <w:bookmarkEnd w:id="223"/>
      <w:r>
        <w:rPr>
          <w:rStyle w:val="style18"/>
        </w:rPr>
        <w:t>9)</w:t>
      </w:r>
      <w:r>
        <w:rPr/>
        <w:t xml:space="preserve"> обжаловать в порядке, установленном </w:t>
      </w:r>
      <w:hyperlink w:anchor="Lbl75">
        <w:r>
          <w:rPr>
            <w:rStyle w:val="style17"/>
          </w:rPr>
          <w:t>статьей 75</w:t>
        </w:r>
      </w:hyperlink>
      <w:r>
        <w:rPr/>
        <w:t xml:space="preserve"> настоящего Закона, действия (бездействие) избирательной комиссии в вышестоящую избирательную комиссию, Избирательную комиссию Рязанской области, Центральную избирательную комиссию Российской Федерации или в суд;</w:t>
      </w:r>
    </w:p>
    <w:p>
      <w:pPr>
        <w:pStyle w:val="style22"/>
        <w:rPr/>
      </w:pPr>
      <w:bookmarkStart w:id="224" w:name="Lbl21910"/>
      <w:bookmarkEnd w:id="224"/>
      <w:r>
        <w:rPr>
          <w:rStyle w:val="style18"/>
        </w:rPr>
        <w:t>10)</w:t>
      </w:r>
      <w:r>
        <w:rPr/>
        <w:t xml:space="preserve"> присутствовать при повторном подсчете голосов избирателей в соответствующих избирательных комиссиях.</w:t>
      </w:r>
    </w:p>
    <w:p>
      <w:pPr>
        <w:pStyle w:val="style22"/>
        <w:rPr/>
      </w:pPr>
      <w:bookmarkStart w:id="225" w:name="Lbl2110"/>
      <w:bookmarkEnd w:id="225"/>
      <w:r>
        <w:rPr>
          <w:rStyle w:val="style18"/>
        </w:rPr>
        <w:t>10.</w:t>
      </w:r>
      <w:r>
        <w:rPr/>
        <w:t xml:space="preserve"> Наблюдатель не вправе:</w:t>
      </w:r>
    </w:p>
    <w:p>
      <w:pPr>
        <w:pStyle w:val="style22"/>
        <w:rPr/>
      </w:pPr>
      <w:bookmarkStart w:id="226" w:name="Lbl21101"/>
      <w:bookmarkEnd w:id="226"/>
      <w:r>
        <w:rPr>
          <w:rStyle w:val="style18"/>
        </w:rPr>
        <w:t>1)</w:t>
      </w:r>
      <w:r>
        <w:rPr/>
        <w:t xml:space="preserve"> выдавать избирателям избирательные бюллетени;</w:t>
      </w:r>
    </w:p>
    <w:p>
      <w:pPr>
        <w:pStyle w:val="style22"/>
        <w:rPr/>
      </w:pPr>
      <w:bookmarkStart w:id="227" w:name="Lbl21102"/>
      <w:bookmarkEnd w:id="227"/>
      <w:r>
        <w:rPr>
          <w:rStyle w:val="style18"/>
        </w:rPr>
        <w:t>2)</w:t>
      </w:r>
      <w:r>
        <w:rPr/>
        <w:t xml:space="preserve"> расписываться за избирателя, в том числе по его просьбе, в получении избирательного бюллетеня;</w:t>
      </w:r>
    </w:p>
    <w:p>
      <w:pPr>
        <w:pStyle w:val="style22"/>
        <w:rPr/>
      </w:pPr>
      <w:bookmarkStart w:id="228" w:name="Lbl21103"/>
      <w:bookmarkEnd w:id="228"/>
      <w:r>
        <w:rPr>
          <w:rStyle w:val="style18"/>
        </w:rPr>
        <w:t>3)</w:t>
      </w:r>
      <w:r>
        <w:rPr/>
        <w:t xml:space="preserve"> заполнять за избирателя, в том числе по его просьбе, избирательный бюллетень;</w:t>
      </w:r>
    </w:p>
    <w:p>
      <w:pPr>
        <w:pStyle w:val="style22"/>
        <w:rPr/>
      </w:pPr>
      <w:bookmarkStart w:id="229" w:name="Lbl21104"/>
      <w:bookmarkEnd w:id="229"/>
      <w:r>
        <w:rPr>
          <w:rStyle w:val="style18"/>
        </w:rPr>
        <w:t>4)</w:t>
      </w:r>
      <w:r>
        <w:rPr/>
        <w:t xml:space="preserve"> предпринимать действия, нарушающие тайну голосования;</w:t>
      </w:r>
    </w:p>
    <w:p>
      <w:pPr>
        <w:pStyle w:val="style22"/>
        <w:rPr/>
      </w:pPr>
      <w:bookmarkStart w:id="230" w:name="Lbl21105"/>
      <w:bookmarkEnd w:id="230"/>
      <w:r>
        <w:rPr>
          <w:rStyle w:val="style18"/>
        </w:rPr>
        <w:t>5)</w:t>
      </w:r>
      <w:r>
        <w:rPr/>
        <w:t xml:space="preserve"> принимать непосредственное участие в проводимом членами избирательной комиссии с правом решающего голоса подсчете избирательных бюллетеней;</w:t>
      </w:r>
    </w:p>
    <w:p>
      <w:pPr>
        <w:pStyle w:val="style22"/>
        <w:rPr/>
      </w:pPr>
      <w:bookmarkStart w:id="231" w:name="Lbl21106"/>
      <w:bookmarkEnd w:id="231"/>
      <w:r>
        <w:rPr>
          <w:rStyle w:val="style18"/>
        </w:rPr>
        <w:t>6)</w:t>
      </w:r>
      <w:r>
        <w:rPr/>
        <w:t xml:space="preserve"> совершать действия, препятствующие работе избирательной комиссии;</w:t>
      </w:r>
    </w:p>
    <w:p>
      <w:pPr>
        <w:pStyle w:val="style22"/>
        <w:rPr/>
      </w:pPr>
      <w:bookmarkStart w:id="232" w:name="Lbl21107"/>
      <w:bookmarkEnd w:id="232"/>
      <w:r>
        <w:rPr>
          <w:rStyle w:val="style18"/>
        </w:rPr>
        <w:t>7)</w:t>
      </w:r>
      <w:r>
        <w:rPr/>
        <w:t xml:space="preserve"> проводить агитацию среди избирателей;</w:t>
      </w:r>
    </w:p>
    <w:p>
      <w:pPr>
        <w:pStyle w:val="style22"/>
        <w:rPr/>
      </w:pPr>
      <w:bookmarkStart w:id="233" w:name="Lbl21108"/>
      <w:bookmarkEnd w:id="233"/>
      <w:r>
        <w:rPr>
          <w:rStyle w:val="style18"/>
        </w:rPr>
        <w:t>8)</w:t>
      </w:r>
      <w:r>
        <w:rPr/>
        <w:t xml:space="preserve"> участвовать в принятии решений соответствующей избирательной комиссией.</w:t>
      </w:r>
    </w:p>
    <w:p>
      <w:pPr>
        <w:pStyle w:val="style22"/>
        <w:rPr/>
      </w:pPr>
      <w:bookmarkStart w:id="234" w:name="Lbl2111"/>
      <w:bookmarkEnd w:id="234"/>
      <w:r>
        <w:rPr>
          <w:rStyle w:val="style18"/>
        </w:rPr>
        <w:t>11.</w:t>
      </w:r>
      <w:r>
        <w:rPr/>
        <w:t xml:space="preserve"> Представители средств массовой информации, принимая участие в информационном освещении подготовки и проведения выборов депутатов представительного органа муниципального образования, вправе:</w:t>
      </w:r>
    </w:p>
    <w:p>
      <w:pPr>
        <w:pStyle w:val="style22"/>
        <w:rPr/>
      </w:pPr>
      <w:bookmarkStart w:id="235" w:name="Lbl21111"/>
      <w:bookmarkEnd w:id="235"/>
      <w:r>
        <w:rPr>
          <w:rStyle w:val="style18"/>
        </w:rPr>
        <w:t>1)</w:t>
      </w:r>
      <w:r>
        <w:rPr/>
        <w:t xml:space="preserve"> присутствовать на заседаниях избирательных комиссий;</w:t>
      </w:r>
    </w:p>
    <w:p>
      <w:pPr>
        <w:pStyle w:val="style22"/>
        <w:rPr/>
      </w:pPr>
      <w:bookmarkStart w:id="236" w:name="Lbl21112"/>
      <w:bookmarkEnd w:id="236"/>
      <w:r>
        <w:rPr>
          <w:rStyle w:val="style18"/>
        </w:rPr>
        <w:t>2)</w:t>
      </w:r>
      <w:r>
        <w:rPr/>
        <w:t xml:space="preserve">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 и приложенных к ним документов;</w:t>
      </w:r>
    </w:p>
    <w:p>
      <w:pPr>
        <w:pStyle w:val="style22"/>
        <w:rPr/>
      </w:pPr>
      <w:bookmarkStart w:id="237" w:name="Lbl21113"/>
      <w:bookmarkEnd w:id="237"/>
      <w:r>
        <w:rPr>
          <w:rStyle w:val="style18"/>
        </w:rPr>
        <w:t>3)</w:t>
      </w:r>
      <w:r>
        <w:rPr/>
        <w:t xml:space="preserve"> присутствовать на агитационных мероприятиях, освещать их проведение;</w:t>
      </w:r>
    </w:p>
    <w:p>
      <w:pPr>
        <w:pStyle w:val="style22"/>
        <w:rPr/>
      </w:pPr>
      <w:bookmarkStart w:id="238" w:name="Lbl21114"/>
      <w:bookmarkEnd w:id="238"/>
      <w:r>
        <w:rPr>
          <w:rStyle w:val="style18"/>
        </w:rPr>
        <w:t>4)</w:t>
      </w:r>
      <w:r>
        <w:rPr/>
        <w:t xml:space="preserve"> находиться в помещении для голосования в день голосования, а также производить фото- и видеосъемку.</w:t>
      </w:r>
    </w:p>
    <w:p>
      <w:pPr>
        <w:pStyle w:val="style22"/>
        <w:rPr/>
      </w:pPr>
      <w:bookmarkStart w:id="239" w:name="Lbl2112"/>
      <w:bookmarkEnd w:id="239"/>
      <w:r>
        <w:rPr>
          <w:rStyle w:val="style18"/>
        </w:rPr>
        <w:t>12.</w:t>
      </w:r>
      <w:r>
        <w:rPr/>
        <w:t xml:space="preserve">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pPr>
        <w:pStyle w:val="style22"/>
        <w:rPr/>
      </w:pPr>
      <w:bookmarkStart w:id="240" w:name="Lbl2113"/>
      <w:bookmarkEnd w:id="240"/>
      <w:r>
        <w:rPr>
          <w:rStyle w:val="style18"/>
        </w:rPr>
        <w:t>13.</w:t>
      </w:r>
      <w:r>
        <w:rPr/>
        <w:t xml:space="preserve"> Иностранные (международные) наблюдатели получают разрешение на въезд в Российскую Федерацию в порядке, установленном федеральным законом, и при наличии приглашения органов государственной власти, избирательной комиссии муниципального образования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pPr>
        <w:pStyle w:val="style47"/>
        <w:rPr/>
      </w:pPr>
      <w:bookmarkStart w:id="241" w:name="Lbl22"/>
      <w:bookmarkEnd w:id="241"/>
      <w:r>
        <w:rPr/>
        <w:t>Статья 22</w:t>
      </w:r>
    </w:p>
    <w:p>
      <w:pPr>
        <w:pStyle w:val="style46"/>
        <w:rPr/>
      </w:pPr>
      <w:r>
        <w:rPr>
          <w:rStyle w:val="style18"/>
        </w:rPr>
        <w:t>Статья 22</w:t>
      </w:r>
      <w:r>
        <w:rPr/>
        <w:t>. Расформирование избирательной комиссии</w:t>
      </w:r>
    </w:p>
    <w:p>
      <w:pPr>
        <w:pStyle w:val="style22"/>
        <w:rPr/>
      </w:pPr>
      <w:r>
        <w:rPr/>
        <w:t>Избирательная комиссия, осуществлявшая (осуществляющая) полномочия по подготовке и проведению выборов депутатов представительного органа муниципального образования, может быть расформирована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в случаях:</w:t>
      </w:r>
    </w:p>
    <w:p>
      <w:pPr>
        <w:pStyle w:val="style22"/>
        <w:rPr/>
      </w:pPr>
      <w:bookmarkStart w:id="242" w:name="Lbl221"/>
      <w:bookmarkEnd w:id="242"/>
      <w:r>
        <w:rPr>
          <w:rStyle w:val="style18"/>
        </w:rPr>
        <w:t>1)</w:t>
      </w:r>
      <w:r>
        <w:rPr/>
        <w:t xml:space="preserve"> нарушения избирательной комиссией избирательных прав граждан, повлекшего за собой признание в установленном порядке, недействительными итогов голосования на соответствующей территории либо результатов выборов;</w:t>
      </w:r>
    </w:p>
    <w:p>
      <w:pPr>
        <w:pStyle w:val="style22"/>
        <w:rPr/>
      </w:pPr>
      <w:bookmarkStart w:id="243" w:name="Lbl222"/>
      <w:bookmarkEnd w:id="243"/>
      <w:r>
        <w:rPr>
          <w:rStyle w:val="style18"/>
        </w:rPr>
        <w:t>2)</w:t>
      </w:r>
      <w:r>
        <w:rPr/>
        <w:t xml:space="preserve"> неисполнения избирательной комиссией решения суда или вышестоящей избирательной комиссии, решений Центральной избирательной комиссии Российской Федерации, Избирательной комиссии Рязанской области, избирательной комиссии муниципального района, принятых в соответствии с </w:t>
      </w:r>
      <w:hyperlink w:anchor="Lbl753">
        <w:r>
          <w:rPr>
            <w:rStyle w:val="style17"/>
          </w:rPr>
          <w:t>частью 3 статьи 75</w:t>
        </w:r>
      </w:hyperlink>
      <w:r>
        <w:rPr/>
        <w:t xml:space="preserve"> настоящего Закона;</w:t>
      </w:r>
    </w:p>
    <w:p>
      <w:pPr>
        <w:pStyle w:val="style22"/>
        <w:rPr/>
      </w:pPr>
      <w:bookmarkStart w:id="244" w:name="Lbl223"/>
      <w:bookmarkEnd w:id="244"/>
      <w:r>
        <w:rPr>
          <w:rStyle w:val="style18"/>
        </w:rPr>
        <w:t>3)</w:t>
      </w:r>
      <w:r>
        <w:rPr/>
        <w:t xml:space="preserve"> невыполнения избирательной комиссией муниципального образования обязанности по назначению выборов, повлекшего за собой назначение выборов временной избирательной комиссией в порядке, установленном </w:t>
      </w:r>
      <w:hyperlink w:anchor="Lbl708">
        <w:r>
          <w:rPr>
            <w:rStyle w:val="style17"/>
          </w:rPr>
          <w:t>частью 8 статьи 7</w:t>
        </w:r>
      </w:hyperlink>
      <w:r>
        <w:rPr/>
        <w:t xml:space="preserve"> настоящего Закона.</w:t>
      </w:r>
    </w:p>
    <w:p>
      <w:pPr>
        <w:pStyle w:val="style47"/>
        <w:rPr/>
      </w:pPr>
      <w:bookmarkStart w:id="245" w:name="Lbl400"/>
      <w:bookmarkEnd w:id="245"/>
      <w:r>
        <w:rPr/>
        <w:t>Справочник наблюдателя — www.nablawiki.ru</w:t>
      </w:r>
    </w:p>
    <w:p>
      <w:pPr>
        <w:pStyle w:val="style2"/>
        <w:rPr/>
      </w:pPr>
      <w:r>
        <w:rPr/>
        <w:t>Глава 4. Избирательные объединения на выборах депутатов представительного органа муниципального образования</w:t>
      </w:r>
    </w:p>
    <w:p>
      <w:pPr>
        <w:pStyle w:val="style47"/>
        <w:rPr/>
      </w:pPr>
      <w:bookmarkStart w:id="246" w:name="Lbl23"/>
      <w:bookmarkEnd w:id="246"/>
      <w:r>
        <w:rPr/>
        <w:t>Статья 23</w:t>
      </w:r>
    </w:p>
    <w:p>
      <w:pPr>
        <w:pStyle w:val="style46"/>
        <w:rPr/>
      </w:pPr>
      <w:r>
        <w:rPr>
          <w:rStyle w:val="style18"/>
        </w:rPr>
        <w:t>Статья 23</w:t>
      </w:r>
      <w:r>
        <w:rPr/>
        <w:t>. Участие избирательных объединений в выборах депутатов представительного органа муниципального образования</w:t>
      </w:r>
    </w:p>
    <w:p>
      <w:pPr>
        <w:pStyle w:val="style22"/>
        <w:rPr/>
      </w:pPr>
      <w:bookmarkStart w:id="247" w:name="Lbl231"/>
      <w:bookmarkEnd w:id="247"/>
      <w:r>
        <w:rPr>
          <w:rStyle w:val="style18"/>
        </w:rPr>
        <w:t>1.</w:t>
      </w:r>
      <w:r>
        <w:rPr/>
        <w:t xml:space="preserve"> Избирательным объединением на выборах депутатов представительного органа муниципального образования является:</w:t>
      </w:r>
    </w:p>
    <w:p>
      <w:pPr>
        <w:pStyle w:val="style22"/>
        <w:rPr/>
      </w:pPr>
      <w:bookmarkStart w:id="248" w:name="Lbl2311"/>
      <w:bookmarkEnd w:id="248"/>
      <w:r>
        <w:rPr>
          <w:rStyle w:val="style18"/>
        </w:rPr>
        <w:t>1)</w:t>
      </w:r>
      <w:r>
        <w:rPr/>
        <w:t xml:space="preserve"> политическая партия, имеющая в соответствии с федеральными законами право участвовать в выборах, либо ее региональное или иное структурное подразделение, имеющее в соответствии с федеральным законом право участвовать в выборах депутатов представительного органа муниципального образования;</w:t>
      </w:r>
    </w:p>
    <w:p>
      <w:pPr>
        <w:pStyle w:val="style22"/>
        <w:rPr/>
      </w:pPr>
      <w:bookmarkStart w:id="249" w:name="Lbl2312"/>
      <w:bookmarkEnd w:id="249"/>
      <w:r>
        <w:rPr>
          <w:rStyle w:val="style18"/>
        </w:rPr>
        <w:t>2)</w:t>
      </w:r>
      <w:r>
        <w:rPr/>
        <w:t xml:space="preserve"> при проведении выборов депутатов представительного органа муниципального образования по одномандатным и (или) многомандатным избирательным округам — также иное общественное объединение, устав которого предусматривает участие в выборах и которое создано в форме общественной организации или общественного движения и зарегистрировано в соответствии с федеральным законодательством на уровне, соответствующем уровню проводимых выборов депутатов представительного органа муниципального образования,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представительный орган муниципального образования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pPr>
        <w:pStyle w:val="style22"/>
        <w:rPr/>
      </w:pPr>
      <w:bookmarkStart w:id="250" w:name="Lbl232"/>
      <w:bookmarkEnd w:id="250"/>
      <w:r>
        <w:rPr>
          <w:rStyle w:val="style18"/>
        </w:rPr>
        <w:t>2.</w:t>
      </w:r>
      <w:r>
        <w:rPr/>
        <w:t xml:space="preserve"> Избирательные объединения участвуют в выборах депутатов представительного органа муниципального образования, в том числе выдвигают кандидатов, списки кандидатов на равных основаниях в соответствии с Федеральным законом «Об основных гарантиях избирательных прав и права на участие в референдуме граждан Российской Федерации», Федеральным законом от 11 июля 2001 года № 95-ФЗ «О политических партиях» (далее — Федеральный закон «О политических партиях»), Федеральным законом от 19 мая 1995 года № 82-ФЗ «Об общественных объединениях» и настоящим Законом.</w:t>
      </w:r>
    </w:p>
    <w:p>
      <w:pPr>
        <w:pStyle w:val="style41"/>
        <w:rPr/>
      </w:pPr>
      <w:bookmarkStart w:id="251" w:name="Lbl233"/>
      <w:bookmarkEnd w:id="251"/>
      <w:r>
        <w:rPr/>
        <w:t>Законом Рязанской области от 9 декабря 2011 г. № 117-ОЗ в часть 3 статьи 23 главы 4 настоящего Закона внесены изменения</w:t>
      </w:r>
    </w:p>
    <w:p>
      <w:pPr>
        <w:pStyle w:val="style41"/>
        <w:rPr/>
      </w:pPr>
      <w:r>
        <w:rPr/>
        <w:t>См. текст части в предыдущей редакции</w:t>
      </w:r>
    </w:p>
    <w:p>
      <w:pPr>
        <w:pStyle w:val="style22"/>
        <w:rPr/>
      </w:pPr>
      <w:r>
        <w:rPr>
          <w:rStyle w:val="style18"/>
        </w:rPr>
        <w:t>3.</w:t>
      </w:r>
      <w:r>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иных общественных объединений, имеющих право в соответствии с Федеральным законом «О политических партиях» и Федеральным законом «Об основных гарантиях избирательных прав и права на участие в референдуме граждан Российской Федерации»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и размещают его в информационно-телекоммуникационной сети «Интернет», а также в этот же срок направляют указанный список в избирательную комиссию, организующую выборы. В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законом «О политических партиях» принимать участие в выборах, а также иные общественные объединения, которые отвечают требованиям, предусмотренным </w:t>
      </w:r>
      <w:hyperlink w:anchor="Lbl2312">
        <w:r>
          <w:rPr>
            <w:rStyle w:val="style17"/>
          </w:rPr>
          <w:t>пунктом 2 части 1 статьи 23</w:t>
        </w:r>
      </w:hyperlink>
      <w:r>
        <w:rPr/>
        <w:t xml:space="preserve"> настоящего Закона, и их соответствующие структурные подразделения.</w:t>
      </w:r>
    </w:p>
    <w:p>
      <w:pPr>
        <w:pStyle w:val="style47"/>
        <w:rPr/>
      </w:pPr>
      <w:bookmarkStart w:id="252" w:name="Lbl24"/>
      <w:bookmarkEnd w:id="252"/>
      <w:r>
        <w:rPr/>
        <w:t>Статья 24</w:t>
      </w:r>
    </w:p>
    <w:p>
      <w:pPr>
        <w:pStyle w:val="style46"/>
        <w:rPr/>
      </w:pPr>
      <w:r>
        <w:rPr>
          <w:rStyle w:val="style18"/>
        </w:rPr>
        <w:t>Статья 24</w:t>
      </w:r>
      <w:r>
        <w:rPr/>
        <w:t>. Наименование и эмблема избирательного объединения</w:t>
      </w:r>
    </w:p>
    <w:p>
      <w:pPr>
        <w:pStyle w:val="style41"/>
        <w:rPr/>
      </w:pPr>
      <w:bookmarkStart w:id="253" w:name="Lbl241"/>
      <w:bookmarkEnd w:id="253"/>
      <w:r>
        <w:rPr/>
        <w:t>Законом Рязанской области от 9 декабря 2011 г. № 117-ОЗ в часть 1 статьи 24 главы 4 настоящего Закона внесены изменения</w:t>
      </w:r>
    </w:p>
    <w:p>
      <w:pPr>
        <w:pStyle w:val="style41"/>
        <w:rPr/>
      </w:pPr>
      <w:r>
        <w:rPr/>
        <w:t>См. текст части в предыдущей редакции</w:t>
      </w:r>
    </w:p>
    <w:p>
      <w:pPr>
        <w:pStyle w:val="style22"/>
        <w:rPr/>
      </w:pPr>
      <w:r>
        <w:rPr>
          <w:rStyle w:val="style18"/>
        </w:rPr>
        <w:t>1.</w:t>
      </w:r>
      <w:r>
        <w:rPr/>
        <w:t xml:space="preserve"> Избирательное объединение одновременно с представлением в избирательную комиссию муниципального образования для заверения списка кандидатов, выдвинутых по единому избирательному округу, и (или) списка кандидатов, выдвинутых по одномандатным (многомандатным) избирательным округам, представляет в эту избирательную комиссию сведения о своем наименовании.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w:t>
      </w:r>
    </w:p>
    <w:p>
      <w:pPr>
        <w:pStyle w:val="style22"/>
        <w:rPr/>
      </w:pPr>
      <w:r>
        <w:rPr/>
        <w:t>Избирательное объединение согласует с избирательной комиссией муниципального образования краткое (состоящее не более чем из семи слов) наименование, используемое в избирательных документах. Краткое наименование политической партии образуется с соблюдением требований, предусмотренных статьей 6 Федерального закона «О политических партиях» и только из слов, составляющих наименование политической партии, указанное в ее уставе с указанием территориальной принадлежности регионального отделения.</w:t>
      </w:r>
    </w:p>
    <w:p>
      <w:pPr>
        <w:pStyle w:val="style22"/>
        <w:rPr/>
      </w:pPr>
      <w:bookmarkStart w:id="254" w:name="Lbl242"/>
      <w:bookmarkEnd w:id="254"/>
      <w:r>
        <w:rPr>
          <w:rStyle w:val="style18"/>
        </w:rPr>
        <w:t>2.</w:t>
      </w:r>
      <w:r>
        <w:rPr/>
        <w:t xml:space="preserve"> Избирательное объединение одновременно с представлением для заверения списков (списка) кандидатов, указанных (указанного) в </w:t>
      </w:r>
      <w:hyperlink w:anchor="Lbl241">
        <w:r>
          <w:rPr>
            <w:rStyle w:val="style17"/>
          </w:rPr>
          <w:t>части 1</w:t>
        </w:r>
      </w:hyperlink>
      <w:r>
        <w:rPr/>
        <w:t xml:space="preserve"> настоящей статьи, вправе представить в избирательную комиссию муниципального образования свою эмблему, описание которой содержится в уставе соответствующей политической партии, иного общественного объединения.</w:t>
      </w:r>
    </w:p>
    <w:p>
      <w:pPr>
        <w:pStyle w:val="style22"/>
        <w:rPr/>
      </w:pPr>
      <w:bookmarkStart w:id="255" w:name="Lbl243"/>
      <w:bookmarkEnd w:id="255"/>
      <w:r>
        <w:rPr>
          <w:rStyle w:val="style18"/>
        </w:rPr>
        <w:t>3.</w:t>
      </w:r>
      <w:r>
        <w:rPr/>
        <w:t xml:space="preserve"> Изменение наименования и эмблемы избирательного объединения после их представления в избирательную комиссию муниципального образования не допускается.</w:t>
      </w:r>
    </w:p>
    <w:p>
      <w:pPr>
        <w:pStyle w:val="style47"/>
        <w:rPr/>
      </w:pPr>
      <w:bookmarkStart w:id="256" w:name="Lbl25"/>
      <w:bookmarkEnd w:id="256"/>
      <w:r>
        <w:rPr/>
        <w:t>Статья 25</w:t>
      </w:r>
    </w:p>
    <w:p>
      <w:pPr>
        <w:pStyle w:val="style46"/>
        <w:rPr/>
      </w:pPr>
      <w:r>
        <w:rPr>
          <w:rStyle w:val="style18"/>
        </w:rPr>
        <w:t>Статья 25</w:t>
      </w:r>
      <w:r>
        <w:rPr/>
        <w:t>. Уполномоченные представители избирательного объединения</w:t>
      </w:r>
    </w:p>
    <w:p>
      <w:pPr>
        <w:pStyle w:val="style41"/>
        <w:rPr/>
      </w:pPr>
      <w:bookmarkStart w:id="257" w:name="Lbl251"/>
      <w:bookmarkEnd w:id="257"/>
      <w:r>
        <w:rPr/>
        <w:t>Законом Рязанской области от 14 мая 2013 г. № 24-ОЗ в часть 1 статьи 25 главы 4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1.</w:t>
      </w:r>
      <w:r>
        <w:rPr/>
        <w:t xml:space="preserve"> Избирательное объединение назначает своих представителей, уполномоченных в соответствии с настоящим Законом представлять избирательное объединение по всем вопросам, связанным с его участием в выборах депутатов представительного органа муниципального образования, в том числе уполномоченных представителей по финансовым вопросам. Уполномоченные представители избирательного объединения, в том числе по финансовым вопросам, назначаются решением соответственно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съезда (конференции, общего собрания) иного общественного объединения, его регионального отделения или местного отделения либо решением органа, уполномоченного на то соответственно решением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съезда (конференции, общего собрания) иного общественного объединения, его регионального отделения или местного отделения. В решении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а также объем его полномочий. В отношении уполномоченного представителя избирательного объединения по финансовым вопросам указывается также, что он имеет право подписи финансовых документов. Уполномоченный представитель избирательного объединения осуществляет свои функции на основании указанного решения, а уполномоченный представитель избирательного объединения по финансовым вопросам — также на основании нотариально удостоверенной и оформленной в установленном федеральным законом порядке доверенности. В доверенности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 код выдавшего его органа, основное место работы или службы, занимаемая должность (в случае отсутствия основного места работы или службы — род занятий) уполномоченного представителя избирательного объединения по финансовым вопросам и его полномочия, а также приводится оттиск печати для финансовых документов избирательного объединения. Избирательное объединение, являющееся структурным подразделением политической партии или иного общественного объединения и не наделенное правами юридического лица, вправе использовать печать регионального отделения политической партии или иного общественного объединения.</w:t>
      </w:r>
    </w:p>
    <w:p>
      <w:pPr>
        <w:pStyle w:val="style41"/>
        <w:rPr/>
      </w:pPr>
      <w:bookmarkStart w:id="258" w:name="Lbl252"/>
      <w:bookmarkEnd w:id="258"/>
      <w:r>
        <w:rPr/>
        <w:t>Законом Рязанской области от 14 мая 2013 г. № 24-ОЗ в часть 2 статьи 25 главы 4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2.</w:t>
      </w:r>
      <w:r>
        <w:rPr/>
        <w:t xml:space="preserve"> Список назначенных уполномоченных представителей избирательного объединения представляется в избирательную комиссию муниципального образования по установленной ею форме. В списке указываются сведения об уполномоченных представителях избирательного объединения, предусмотренные </w:t>
      </w:r>
      <w:hyperlink w:anchor="Lbl251">
        <w:r>
          <w:rPr>
            <w:rStyle w:val="style17"/>
          </w:rPr>
          <w:t>частью 1</w:t>
        </w:r>
      </w:hyperlink>
      <w:r>
        <w:rPr/>
        <w:t xml:space="preserve"> настоящей статьи, номер телефона (при его наличии) каждого уполномоченного представителя, а для уполномоченного представителя избирательного объединения по финансовым вопросам — также сведения о том, что он является уполномоченным представителем избирательного объединения по финансовым вопросам. Одновременно со списком уполномоченных представителей избирательного объединения для выдвижения списка кандидатов в соответствующую избирательную комиссию представляется письменное согласие каждого уполномоченного представителя избирательного объединения на осуществление соответствующей деятельности.</w:t>
      </w:r>
    </w:p>
    <w:p>
      <w:pPr>
        <w:pStyle w:val="style22"/>
        <w:rPr/>
      </w:pPr>
      <w:bookmarkStart w:id="259" w:name="Lbl253"/>
      <w:bookmarkEnd w:id="259"/>
      <w:r>
        <w:rPr>
          <w:rStyle w:val="style18"/>
        </w:rPr>
        <w:t>3.</w:t>
      </w:r>
      <w:r>
        <w:rPr/>
        <w:t xml:space="preserve"> Уполномоченные представители избирательного объединения по финансовым вопросам подлежат регистрации избирательной комиссией муниципального образования на основании решения и доверенности, которые предусмотрены </w:t>
      </w:r>
      <w:hyperlink w:anchor="Lbl251">
        <w:r>
          <w:rPr>
            <w:rStyle w:val="style17"/>
          </w:rPr>
          <w:t>частью 1</w:t>
        </w:r>
      </w:hyperlink>
      <w:r>
        <w:rPr/>
        <w:t xml:space="preserve"> настоящей статьи, при предъявлении ими паспорта или документа, заменяющего паспорт гражданина.</w:t>
      </w:r>
    </w:p>
    <w:p>
      <w:pPr>
        <w:pStyle w:val="style22"/>
        <w:rPr/>
      </w:pPr>
      <w:bookmarkStart w:id="260" w:name="Lbl254"/>
      <w:bookmarkEnd w:id="260"/>
      <w:r>
        <w:rPr>
          <w:rStyle w:val="style18"/>
        </w:rPr>
        <w:t>4.</w:t>
      </w:r>
      <w:r>
        <w:rPr/>
        <w:t xml:space="preserve"> При назначении уполномоченного представителя по финансовым вопросам избирательное объединение передает ему следующие полномочия:</w:t>
      </w:r>
    </w:p>
    <w:p>
      <w:pPr>
        <w:pStyle w:val="style22"/>
        <w:rPr/>
      </w:pPr>
      <w:bookmarkStart w:id="261" w:name="Lbl2541"/>
      <w:bookmarkEnd w:id="261"/>
      <w:r>
        <w:rPr>
          <w:rStyle w:val="style18"/>
        </w:rPr>
        <w:t>1)</w:t>
      </w:r>
      <w:r>
        <w:rPr/>
        <w:t xml:space="preserve"> открытие и закрытие специального избирательного счета;</w:t>
      </w:r>
    </w:p>
    <w:p>
      <w:pPr>
        <w:pStyle w:val="style22"/>
        <w:rPr/>
      </w:pPr>
      <w:bookmarkStart w:id="262" w:name="Lbl2542"/>
      <w:bookmarkEnd w:id="262"/>
      <w:r>
        <w:rPr>
          <w:rStyle w:val="style18"/>
        </w:rPr>
        <w:t>2)</w:t>
      </w:r>
      <w:r>
        <w:rPr/>
        <w:t xml:space="preserve"> распоряжение средствами избирательного фонда;</w:t>
      </w:r>
    </w:p>
    <w:p>
      <w:pPr>
        <w:pStyle w:val="style22"/>
        <w:rPr/>
      </w:pPr>
      <w:bookmarkStart w:id="263" w:name="Lbl2543"/>
      <w:bookmarkEnd w:id="263"/>
      <w:r>
        <w:rPr>
          <w:rStyle w:val="style18"/>
        </w:rPr>
        <w:t>3)</w:t>
      </w:r>
      <w:r>
        <w:rPr/>
        <w:t xml:space="preserve"> учет денежных средств избирательного фонда;</w:t>
      </w:r>
    </w:p>
    <w:p>
      <w:pPr>
        <w:pStyle w:val="style22"/>
        <w:rPr/>
      </w:pPr>
      <w:bookmarkStart w:id="264" w:name="Lbl2544"/>
      <w:bookmarkEnd w:id="264"/>
      <w:r>
        <w:rPr>
          <w:rStyle w:val="style18"/>
        </w:rPr>
        <w:t>4)</w:t>
      </w:r>
      <w:r>
        <w:rPr/>
        <w:t xml:space="preserve"> контроль за поступлением и расходованием средств избирательного фонда;</w:t>
      </w:r>
    </w:p>
    <w:p>
      <w:pPr>
        <w:pStyle w:val="style22"/>
        <w:rPr/>
      </w:pPr>
      <w:bookmarkStart w:id="265" w:name="Lbl2545"/>
      <w:bookmarkEnd w:id="265"/>
      <w:r>
        <w:rPr>
          <w:rStyle w:val="style18"/>
        </w:rPr>
        <w:t>5)</w:t>
      </w:r>
      <w:r>
        <w:rPr/>
        <w:t xml:space="preserve"> право подписи на платежных (расчетных) документах;</w:t>
      </w:r>
    </w:p>
    <w:p>
      <w:pPr>
        <w:pStyle w:val="style22"/>
        <w:rPr/>
      </w:pPr>
      <w:bookmarkStart w:id="266" w:name="Lbl2546"/>
      <w:bookmarkEnd w:id="266"/>
      <w:r>
        <w:rPr>
          <w:rStyle w:val="style18"/>
        </w:rPr>
        <w:t>6)</w:t>
      </w:r>
      <w:r>
        <w:rPr/>
        <w:t xml:space="preserve"> составление первого и итогового финансового отчета;</w:t>
      </w:r>
    </w:p>
    <w:p>
      <w:pPr>
        <w:pStyle w:val="style22"/>
        <w:rPr/>
      </w:pPr>
      <w:bookmarkStart w:id="267" w:name="Lbl2547"/>
      <w:bookmarkEnd w:id="267"/>
      <w:r>
        <w:rPr>
          <w:rStyle w:val="style18"/>
        </w:rPr>
        <w:t>7)</w:t>
      </w:r>
      <w:r>
        <w:rPr/>
        <w:t xml:space="preserve"> иные полномочия (при необходимости).</w:t>
      </w:r>
    </w:p>
    <w:p>
      <w:pPr>
        <w:pStyle w:val="style22"/>
        <w:rPr/>
      </w:pPr>
      <w:bookmarkStart w:id="268" w:name="Lbl255"/>
      <w:bookmarkEnd w:id="268"/>
      <w:r>
        <w:rPr>
          <w:rStyle w:val="style18"/>
        </w:rPr>
        <w:t>5.</w:t>
      </w:r>
      <w:r>
        <w:rPr/>
        <w:t xml:space="preserve"> Уполномоченные представители избирательных объединений, в том числе по финансовым вопросам, не вправе использовать преимущества своего должностного или служебного положения.</w:t>
      </w:r>
    </w:p>
    <w:p>
      <w:pPr>
        <w:pStyle w:val="style22"/>
        <w:rPr/>
      </w:pPr>
      <w:bookmarkStart w:id="269" w:name="Lbl256"/>
      <w:bookmarkEnd w:id="269"/>
      <w:r>
        <w:rPr>
          <w:rStyle w:val="style18"/>
        </w:rPr>
        <w:t>6.</w:t>
      </w:r>
      <w:r>
        <w:rPr/>
        <w:t xml:space="preserve"> Срок полномочий уполномоченных представителей избирательного объединения начинается со дня их назначения и прекращается в момент утраты своего статуса всеми кандидатами, включенными в состав списка кандидатов, выдвинутого назначившим их избирательным объединением, но не позднее дня официального опубликования общих результатов выборов депутатов представительного органа муниципального образования. Срок полномочий уполномоченных представителей избирательного объединения по финансовым вопросам истекает через 60 дней со дня голосования, а если в соответствии с Федеральным законом «Об основных гарантиях избирательных прав и права на участие в референдуме граждан Российской Федерации» и настоящим Законом ведется судебное разбирательство с участием соответствующего избирательного объединения — со дня, следующего за днем вступления в законную силу судебного решения. Избирательное объединение по решению уполномоченного на то органа избирательного объединения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 Копия решения о прекращении полномочий уполномоченного представителя по финансовым вопросам должна быть одновременно направлена избирательным объединением в филиал Сберегательного банка Российской Федерации, иную кредитную организацию (филиал), в котором (в которой) данное избирательное объединение открыло специальный избирательный счет для формирования своего избирательного фонда. Регистрация вновь назначенного уполномоченного представителя избирательного объединения по финансовым вопросам осуществляется в порядке, предусмотренном </w:t>
      </w:r>
      <w:hyperlink w:anchor="Lbl253">
        <w:r>
          <w:rPr>
            <w:rStyle w:val="style17"/>
          </w:rPr>
          <w:t>частью 3</w:t>
        </w:r>
      </w:hyperlink>
      <w:r>
        <w:rPr/>
        <w:t xml:space="preserve"> настоящей статьи.</w:t>
      </w:r>
    </w:p>
    <w:p>
      <w:pPr>
        <w:pStyle w:val="style47"/>
        <w:rPr/>
      </w:pPr>
      <w:bookmarkStart w:id="270" w:name="Lbl500"/>
      <w:bookmarkEnd w:id="270"/>
      <w:r>
        <w:rPr/>
        <w:t>Справочник наблюдателя — www.nablawiki.ru</w:t>
      </w:r>
    </w:p>
    <w:p>
      <w:pPr>
        <w:pStyle w:val="style2"/>
        <w:rPr/>
      </w:pPr>
      <w:r>
        <w:rPr/>
        <w:t>Глава 5. Выдвижение и регистрация кандидатов, списков кандидатов</w:t>
      </w:r>
    </w:p>
    <w:p>
      <w:pPr>
        <w:pStyle w:val="style47"/>
        <w:rPr/>
      </w:pPr>
      <w:bookmarkStart w:id="271" w:name="Lbl26"/>
      <w:bookmarkEnd w:id="271"/>
      <w:r>
        <w:rPr/>
        <w:t>Статья 26</w:t>
      </w:r>
    </w:p>
    <w:p>
      <w:pPr>
        <w:pStyle w:val="style46"/>
        <w:rPr/>
      </w:pPr>
      <w:r>
        <w:rPr>
          <w:rStyle w:val="style18"/>
        </w:rPr>
        <w:t>Статья 26</w:t>
      </w:r>
      <w:r>
        <w:rPr/>
        <w:t>. Общие условия выдвижения кандидатов</w:t>
      </w:r>
    </w:p>
    <w:p>
      <w:pPr>
        <w:pStyle w:val="style22"/>
        <w:rPr/>
      </w:pPr>
      <w:bookmarkStart w:id="272" w:name="Lbl261"/>
      <w:bookmarkEnd w:id="272"/>
      <w:r>
        <w:rPr>
          <w:rStyle w:val="style18"/>
        </w:rPr>
        <w:t>1.</w:t>
      </w:r>
      <w:r>
        <w:rPr/>
        <w:t xml:space="preserve"> Граждане Российской Федерации, обладающие пассивным избирательным правом, могут быть выдвинуты кандидатами на выборах депутатов представительного органа муниципального образования непосредственно либо в составе списка кандидатов по единому избирательному округу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w:t>
      </w:r>
    </w:p>
    <w:p>
      <w:pPr>
        <w:pStyle w:val="style22"/>
        <w:rPr/>
      </w:pPr>
      <w:bookmarkStart w:id="273" w:name="Lbl262"/>
      <w:bookmarkEnd w:id="273"/>
      <w:r>
        <w:rPr>
          <w:rStyle w:val="style18"/>
        </w:rPr>
        <w:t>2.</w:t>
      </w:r>
      <w:r>
        <w:rPr/>
        <w:t xml:space="preserve"> Непосредственное выдвижение кандидатов осуществляется по одномандатным (многомандатным) избирательным округам путем самовыдвижения, а также выдвижения избирательным объединением.</w:t>
      </w:r>
    </w:p>
    <w:p>
      <w:pPr>
        <w:pStyle w:val="style22"/>
        <w:rPr/>
      </w:pPr>
      <w:bookmarkStart w:id="274" w:name="Lbl263"/>
      <w:bookmarkEnd w:id="274"/>
      <w:r>
        <w:rPr>
          <w:rStyle w:val="style18"/>
        </w:rPr>
        <w:t>3.</w:t>
      </w:r>
      <w:r>
        <w:rPr/>
        <w:t xml:space="preserve"> Выдвижение кандидатов в составе списка кандидатов по единому избирательному округу осуществляется политической партией.</w:t>
      </w:r>
    </w:p>
    <w:p>
      <w:pPr>
        <w:pStyle w:val="style22"/>
        <w:rPr/>
      </w:pPr>
      <w:r>
        <w:rPr/>
        <w:t>Общественное объединение, не являющееся политической партией, его структурное подразделение вправе предлагать кандидатуры для включения их в список кандидатов, выдвигаемых избирательным объединением по единому избирательному округу. Включение таких кандидатур в список кандидатов осуществляется в порядке, установленном Федеральным законом «О политических партиях».</w:t>
      </w:r>
    </w:p>
    <w:p>
      <w:pPr>
        <w:pStyle w:val="style22"/>
        <w:rPr/>
      </w:pPr>
      <w:bookmarkStart w:id="275" w:name="Lbl264"/>
      <w:bookmarkEnd w:id="275"/>
      <w:r>
        <w:rPr>
          <w:rStyle w:val="style18"/>
        </w:rPr>
        <w:t>4.</w:t>
      </w:r>
      <w:r>
        <w:rPr/>
        <w:t xml:space="preserve"> При проведении повторных 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(членом) этого органа.</w:t>
      </w:r>
    </w:p>
    <w:p>
      <w:pPr>
        <w:pStyle w:val="style22"/>
        <w:rPr/>
      </w:pPr>
      <w:bookmarkStart w:id="276" w:name="Lbl265"/>
      <w:bookmarkEnd w:id="276"/>
      <w:r>
        <w:rPr>
          <w:rStyle w:val="style18"/>
        </w:rPr>
        <w:t>5.</w:t>
      </w:r>
      <w:r>
        <w:rPr/>
        <w:t xml:space="preserve"> Не может быть выдвинут кандидатом гражданин Российской Федерации, не обладающий пассивным избирательным правом на выборах депутатов представительного органа муниципального образования.</w:t>
      </w:r>
    </w:p>
    <w:p>
      <w:pPr>
        <w:pStyle w:val="style41"/>
        <w:rPr/>
      </w:pPr>
      <w:bookmarkStart w:id="277" w:name="Lbl266"/>
      <w:bookmarkEnd w:id="277"/>
      <w:r>
        <w:rPr/>
        <w:t>Законом Рязанской области от 14 мая 2013 г. № 24-ОЗ в часть 6 статьи 26 главы 5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6.</w:t>
      </w:r>
      <w:r>
        <w:rPr/>
        <w:t xml:space="preserve"> Выдвижение кандидатов по одномандатным (многомандатным) избирательным округам начинается со дня, следующего за днем официального опубликования (публикации) решения о назначении выборов, но не ранее дня официального опубликования (обнародования) схемы одномандатных и (или) многомандатных избирательных округов и прекращается за 50 дней до дня голосования.</w:t>
      </w:r>
    </w:p>
    <w:p>
      <w:pPr>
        <w:pStyle w:val="style22"/>
        <w:rPr/>
      </w:pPr>
      <w:r>
        <w:rPr/>
        <w:t>Выдвижение кандидатов в составе списков кандидатов по единому избирательному округу начинается со дня, следующего за днем официального опубликования (публикации) решения о назначении выборов.</w:t>
      </w:r>
    </w:p>
    <w:p>
      <w:pPr>
        <w:pStyle w:val="style22"/>
        <w:rPr/>
      </w:pPr>
      <w:bookmarkStart w:id="278" w:name="Lbl267"/>
      <w:bookmarkEnd w:id="278"/>
      <w:r>
        <w:rPr>
          <w:rStyle w:val="style18"/>
        </w:rPr>
        <w:t>7.</w:t>
      </w:r>
      <w:r>
        <w:rPr/>
        <w:t xml:space="preserve"> Кандидат может быть выдвинут одним и тем же избирательным объединением одновременно по одномандатному (многомандатному) избирательному округу и в составе списка кандидатов.</w:t>
      </w:r>
    </w:p>
    <w:p>
      <w:pPr>
        <w:pStyle w:val="style22"/>
        <w:rPr/>
      </w:pPr>
      <w:bookmarkStart w:id="279" w:name="Lbl268"/>
      <w:bookmarkEnd w:id="279"/>
      <w:r>
        <w:rPr>
          <w:rStyle w:val="style18"/>
        </w:rPr>
        <w:t>8.</w:t>
      </w:r>
      <w:r>
        <w:rPr/>
        <w:t xml:space="preserve"> Кандидат не может быть выдвинут более чем в одном одномандатном (многомандатном) избирательном округе.</w:t>
      </w:r>
    </w:p>
    <w:p>
      <w:pPr>
        <w:pStyle w:val="style22"/>
        <w:rPr/>
      </w:pPr>
      <w:bookmarkStart w:id="280" w:name="Lbl269"/>
      <w:bookmarkEnd w:id="280"/>
      <w:r>
        <w:rPr>
          <w:rStyle w:val="style18"/>
        </w:rPr>
        <w:t>9.</w:t>
      </w:r>
      <w:r>
        <w:rPr/>
        <w:t xml:space="preserve"> Кандидат не может дать согласие на выдвижение более чем одному инициатору выдвижения.</w:t>
      </w:r>
    </w:p>
    <w:p>
      <w:pPr>
        <w:pStyle w:val="style22"/>
        <w:rPr/>
      </w:pPr>
      <w:bookmarkStart w:id="281" w:name="Lbl2610"/>
      <w:bookmarkEnd w:id="281"/>
      <w:r>
        <w:rPr>
          <w:rStyle w:val="style18"/>
        </w:rPr>
        <w:t>10.</w:t>
      </w:r>
      <w:r>
        <w:rPr/>
        <w:t xml:space="preserve"> Кандидат не может быть выдвинут одновременно в порядке самовыдвижения и в составе списка кандидатов.</w:t>
      </w:r>
    </w:p>
    <w:p>
      <w:pPr>
        <w:pStyle w:val="style22"/>
        <w:rPr/>
      </w:pPr>
      <w:bookmarkStart w:id="282" w:name="Lbl2611"/>
      <w:bookmarkEnd w:id="282"/>
      <w:r>
        <w:rPr>
          <w:rStyle w:val="style18"/>
        </w:rPr>
        <w:t>11.</w:t>
      </w:r>
      <w:r>
        <w:rPr/>
        <w:t xml:space="preserve"> Избирательное объединение, являющееся политической партией, не вправе выдвигать кандидатами в депутаты, в том числе в составе списков кандидатов, граждан Российской Федерации, являющихся членами иных политических партий.</w:t>
      </w:r>
    </w:p>
    <w:p>
      <w:pPr>
        <w:pStyle w:val="style22"/>
        <w:rPr/>
      </w:pPr>
      <w:bookmarkStart w:id="283" w:name="Lbl2612"/>
      <w:bookmarkEnd w:id="283"/>
      <w:r>
        <w:rPr>
          <w:rStyle w:val="style18"/>
        </w:rPr>
        <w:t>12.</w:t>
      </w:r>
      <w:r>
        <w:rPr/>
        <w:t xml:space="preserve"> В случае проведения выборов депутатов представительных органов муниципального образования исключительно по пропорциональной избирательной системе каждый гражданин Российской Федерации, обладающий пассивным избирательным правом и не являющийся членом политической партии, не позднее чем через три дня со дня официального опубликования (публикации) решения о назначении выборов депутатов представительного органа муниципального образования вправе обратиться в региональное или иное структурное подразделение любой политической партии с предложением включить его в список кандидатов, выдвигаемый этой политической партией. В случае поддержки этой кандидатуры не менее чем десятью членами политической партии, которые состоят в данном региональном отделении, она должна быть рассмотрена на конференции (общем собрании) регионального или иного структурного подразделения политической партии при решении вопросов, связанных с участием политической партии в выборах и выдвижением списка кандидатов наравне с иными кандидатурами, которые предлагаются к включению в список кандидатов.</w:t>
      </w:r>
    </w:p>
    <w:p>
      <w:pPr>
        <w:pStyle w:val="style22"/>
        <w:rPr/>
      </w:pPr>
      <w:bookmarkStart w:id="284" w:name="Lbl2613"/>
      <w:bookmarkEnd w:id="284"/>
      <w:r>
        <w:rPr>
          <w:rStyle w:val="style18"/>
        </w:rPr>
        <w:t>13.</w:t>
      </w:r>
      <w:r>
        <w:rPr/>
        <w:t xml:space="preserve">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Lbl271">
        <w:r>
          <w:rPr>
            <w:rStyle w:val="style17"/>
          </w:rPr>
          <w:t>частях 1</w:t>
        </w:r>
      </w:hyperlink>
      <w:r>
        <w:rPr/>
        <w:t xml:space="preserve"> и </w:t>
      </w:r>
      <w:hyperlink w:anchor="Lbl273">
        <w:r>
          <w:rPr>
            <w:rStyle w:val="style17"/>
          </w:rPr>
          <w:t>3 статьи 27</w:t>
        </w:r>
      </w:hyperlink>
      <w:r>
        <w:rPr/>
        <w:t xml:space="preserve"> настоящего Закона, должны быть нотариально удостоверены.</w:t>
      </w:r>
    </w:p>
    <w:p>
      <w:pPr>
        <w:pStyle w:val="style47"/>
        <w:rPr/>
      </w:pPr>
      <w:bookmarkStart w:id="285" w:name="Lbl27"/>
      <w:bookmarkEnd w:id="285"/>
      <w:r>
        <w:rPr/>
        <w:t>Статья 27</w:t>
      </w:r>
    </w:p>
    <w:p>
      <w:pPr>
        <w:pStyle w:val="style46"/>
        <w:rPr/>
      </w:pPr>
      <w:r>
        <w:rPr>
          <w:rStyle w:val="style18"/>
        </w:rPr>
        <w:t>Статья 27.</w:t>
      </w:r>
      <w:r>
        <w:rPr/>
        <w:t xml:space="preserve"> Самовыдвижение кандидатов по одномандатным (многомандатным) избирательным округам</w:t>
      </w:r>
    </w:p>
    <w:p>
      <w:pPr>
        <w:pStyle w:val="style22"/>
        <w:rPr/>
      </w:pPr>
      <w:bookmarkStart w:id="286" w:name="Lbl271"/>
      <w:bookmarkEnd w:id="286"/>
      <w:r>
        <w:rPr>
          <w:rStyle w:val="style18"/>
        </w:rPr>
        <w:t>1.</w:t>
      </w:r>
      <w:r>
        <w:rPr/>
        <w:t xml:space="preserve"> Самовыдвижение кандидата осуществляется путем уведомления об этом соответствующей окружной избирательной комиссии в установленном настоящей статьей порядке. 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«Об основных гарантиях избирательных прав и права на участие в референдуме граждан Российской Федерации» и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 замещением должности депутата представительного органа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p>
    <w:p>
      <w:pPr>
        <w:pStyle w:val="style22"/>
        <w:rPr/>
      </w:pPr>
      <w:r>
        <w:rPr/>
        <w:t>Вместе с заявлением кандидат представляет копию паспорта или документа, заменяющего паспорт гражданина,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pPr>
        <w:pStyle w:val="style22"/>
        <w:rPr/>
      </w:pPr>
      <w:bookmarkStart w:id="287" w:name="Lbl272"/>
      <w:bookmarkEnd w:id="287"/>
      <w:r>
        <w:rPr>
          <w:rStyle w:val="style18"/>
        </w:rPr>
        <w:t>2.</w:t>
      </w:r>
      <w:r>
        <w:rPr/>
        <w:t xml:space="preserve"> В случае наличия у кандидата неснятой и непогашенной судимости в заявлении, предусмотренном </w:t>
      </w:r>
      <w:hyperlink w:anchor="Lbl271">
        <w:r>
          <w:rPr>
            <w:rStyle w:val="style17"/>
          </w:rPr>
          <w:t>частью 1</w:t>
        </w:r>
      </w:hyperlink>
      <w:r>
        <w:rPr/>
        <w:t xml:space="preserve"> настоящей статьи, указываются сведения о судимости кандидата.</w:t>
      </w:r>
    </w:p>
    <w:p>
      <w:pPr>
        <w:pStyle w:val="style22"/>
        <w:rPr/>
      </w:pPr>
      <w:bookmarkStart w:id="288" w:name="Lbl273"/>
      <w:bookmarkEnd w:id="288"/>
      <w:r>
        <w:rPr>
          <w:rStyle w:val="style18"/>
        </w:rPr>
        <w:t>3.</w:t>
      </w:r>
      <w:r>
        <w:rPr/>
        <w:t xml:space="preserve"> Вместе с заявлением, указанным в </w:t>
      </w:r>
      <w:hyperlink w:anchor="Lbl271">
        <w:r>
          <w:rPr>
            <w:rStyle w:val="style17"/>
          </w:rPr>
          <w:t>части 1</w:t>
        </w:r>
      </w:hyperlink>
      <w:r>
        <w:rPr/>
        <w:t xml:space="preserve"> настоящей статьи, в окружную избирательную комиссию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Lbl4000">
        <w:r>
          <w:rPr>
            <w:rStyle w:val="style17"/>
          </w:rPr>
          <w:t>приложению 4</w:t>
        </w:r>
      </w:hyperlink>
      <w:r>
        <w:rPr/>
        <w:t xml:space="preserve"> к настоящему Закону. Кандидат не обязан представлять указанные сведения, если при образовании избирательных округов средняя норма представительства избирателей не превышает пяти тысяч избирателей.</w:t>
      </w:r>
    </w:p>
    <w:p>
      <w:pPr>
        <w:pStyle w:val="style22"/>
        <w:rPr/>
      </w:pPr>
      <w:bookmarkStart w:id="289" w:name="Lbl274"/>
      <w:bookmarkEnd w:id="289"/>
      <w:r>
        <w:rPr>
          <w:rStyle w:val="style18"/>
        </w:rPr>
        <w:t>4.</w:t>
      </w:r>
      <w:r>
        <w:rPr/>
        <w:t xml:space="preserve"> Документы, указанные в </w:t>
      </w:r>
      <w:hyperlink w:anchor="Lbl271">
        <w:r>
          <w:rPr>
            <w:rStyle w:val="style17"/>
          </w:rPr>
          <w:t>частях 1 — 3</w:t>
        </w:r>
      </w:hyperlink>
      <w:r>
        <w:rPr/>
        <w:t xml:space="preserve"> настоящей статьи, кандидат обязан представить лично. Документы, указанные в </w:t>
      </w:r>
      <w:hyperlink w:anchor="Lbl271">
        <w:r>
          <w:rPr>
            <w:rStyle w:val="style17"/>
          </w:rPr>
          <w:t>частях 1 — 3</w:t>
        </w:r>
      </w:hyperlink>
      <w:r>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pPr>
        <w:pStyle w:val="style22"/>
        <w:rPr/>
      </w:pPr>
      <w:bookmarkStart w:id="290" w:name="Lbl275"/>
      <w:bookmarkEnd w:id="290"/>
      <w:r>
        <w:rPr>
          <w:rStyle w:val="style18"/>
        </w:rPr>
        <w:t>5.</w:t>
      </w:r>
      <w:r>
        <w:rPr/>
        <w:t xml:space="preserve"> Если окружная избирательная комиссия к моменту самовыдвижения кандидата не сформирована, документы, указанные в </w:t>
      </w:r>
      <w:hyperlink w:anchor="Lbl271">
        <w:r>
          <w:rPr>
            <w:rStyle w:val="style17"/>
          </w:rPr>
          <w:t>частях 1 — 3</w:t>
        </w:r>
      </w:hyperlink>
      <w:r>
        <w:rPr/>
        <w:t xml:space="preserve"> настоящей статьи, представляются в избирательную комиссию муниципального образования, которая после формирования окружной избирательной комиссии передает ей поступившие документы.</w:t>
      </w:r>
    </w:p>
    <w:p>
      <w:pPr>
        <w:pStyle w:val="style22"/>
        <w:rPr/>
      </w:pPr>
      <w:bookmarkStart w:id="291" w:name="Lbl276"/>
      <w:bookmarkEnd w:id="291"/>
      <w:r>
        <w:rPr>
          <w:rStyle w:val="style18"/>
        </w:rPr>
        <w:t>6.</w:t>
      </w:r>
      <w:r>
        <w:rPr/>
        <w:t xml:space="preserve"> Избирательная комиссия, в которую кандидат (иное лицо, указанное в </w:t>
      </w:r>
      <w:hyperlink w:anchor="Lbl274">
        <w:r>
          <w:rPr>
            <w:rStyle w:val="style17"/>
          </w:rPr>
          <w:t>части 4</w:t>
        </w:r>
      </w:hyperlink>
      <w:r>
        <w:rPr/>
        <w:t xml:space="preserve"> настоящей статьи) представляет документы, указанные в </w:t>
      </w:r>
      <w:hyperlink w:anchor="Lbl271">
        <w:r>
          <w:rPr>
            <w:rStyle w:val="style17"/>
          </w:rPr>
          <w:t>частях 1 — 3</w:t>
        </w:r>
      </w:hyperlink>
      <w:r>
        <w:rPr/>
        <w:t xml:space="preserve"> настоящей статьи, обязана выдать кандидату (иному лицу, указанному в </w:t>
      </w:r>
      <w:hyperlink w:anchor="Lbl274">
        <w:r>
          <w:rPr>
            <w:rStyle w:val="style17"/>
          </w:rPr>
          <w:t>части 4</w:t>
        </w:r>
      </w:hyperlink>
      <w:r>
        <w:rPr/>
        <w:t xml:space="preserve"> настоящей статьи) письменное подтверждение получения этих документов. Подтверждение выдается незамедлительно после представления и приема документов.</w:t>
      </w:r>
    </w:p>
    <w:p>
      <w:pPr>
        <w:pStyle w:val="style22"/>
        <w:rPr/>
      </w:pPr>
      <w:bookmarkStart w:id="292" w:name="Lbl277"/>
      <w:bookmarkEnd w:id="292"/>
      <w:r>
        <w:rPr>
          <w:rStyle w:val="style18"/>
        </w:rPr>
        <w:t>7.</w:t>
      </w:r>
      <w:r>
        <w:rPr/>
        <w:t xml:space="preserve"> Окружная избирательная комиссия обращается с представлением о проверке достоверности сведений о кандидатах, представляемых в соответствии с </w:t>
      </w:r>
      <w:hyperlink w:anchor="Lbl271">
        <w:r>
          <w:rPr>
            <w:rStyle w:val="style17"/>
          </w:rPr>
          <w:t>частями 1 — 3</w:t>
        </w:r>
      </w:hyperlink>
      <w:r>
        <w:rP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Lbl271">
        <w:r>
          <w:rPr>
            <w:rStyle w:val="style17"/>
          </w:rPr>
          <w:t>частями 1</w:t>
        </w:r>
      </w:hyperlink>
      <w:r>
        <w:rPr/>
        <w:t xml:space="preserve"> и </w:t>
      </w:r>
      <w:hyperlink w:anchor="Lbl272">
        <w:r>
          <w:rPr>
            <w:rStyle w:val="style17"/>
          </w:rPr>
          <w:t>2</w:t>
        </w:r>
      </w:hyperlink>
      <w:r>
        <w:rPr/>
        <w:t xml:space="preserve"> настоящей статьи, в течение десяти дней, а сведений, представляемых в соответствии с </w:t>
      </w:r>
      <w:hyperlink w:anchor="Lbl273">
        <w:r>
          <w:rPr>
            <w:rStyle w:val="style17"/>
          </w:rPr>
          <w:t>частью 3</w:t>
        </w:r>
      </w:hyperlink>
      <w:r>
        <w:rP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окружной избирательной комиссией.</w:t>
      </w:r>
    </w:p>
    <w:p>
      <w:pPr>
        <w:pStyle w:val="style22"/>
        <w:rPr/>
      </w:pPr>
      <w:bookmarkStart w:id="293" w:name="Lbl278"/>
      <w:bookmarkEnd w:id="293"/>
      <w:r>
        <w:rPr>
          <w:rStyle w:val="style18"/>
        </w:rPr>
        <w:t>8.</w:t>
      </w:r>
      <w:r>
        <w:rPr/>
        <w:t xml:space="preserve"> Окружная избирательная комиссия доводит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w:t>
      </w:r>
    </w:p>
    <w:p>
      <w:pPr>
        <w:pStyle w:val="style22"/>
        <w:rPr/>
      </w:pPr>
      <w:bookmarkStart w:id="294" w:name="Lbl279"/>
      <w:bookmarkEnd w:id="294"/>
      <w:r>
        <w:rPr>
          <w:rStyle w:val="style18"/>
        </w:rPr>
        <w:t>9.</w:t>
      </w:r>
      <w:r>
        <w:rPr/>
        <w:t xml:space="preserve"> Окружная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pPr>
        <w:pStyle w:val="style47"/>
        <w:rPr/>
      </w:pPr>
      <w:bookmarkStart w:id="295" w:name="Lbl28"/>
      <w:bookmarkEnd w:id="295"/>
      <w:r>
        <w:rPr/>
        <w:t>Статья 28</w:t>
      </w:r>
    </w:p>
    <w:p>
      <w:pPr>
        <w:pStyle w:val="style46"/>
        <w:rPr/>
      </w:pPr>
      <w:r>
        <w:rPr>
          <w:rStyle w:val="style18"/>
        </w:rPr>
        <w:t>Статья 28.</w:t>
      </w:r>
      <w:r>
        <w:rPr/>
        <w:t xml:space="preserve"> Выдвижение кандидатов избирательным объединением по одномандатным (многомандатным) избирательным округам</w:t>
      </w:r>
    </w:p>
    <w:p>
      <w:pPr>
        <w:pStyle w:val="style41"/>
        <w:rPr/>
      </w:pPr>
      <w:bookmarkStart w:id="296" w:name="Lbl281"/>
      <w:bookmarkEnd w:id="296"/>
      <w:r>
        <w:rPr/>
        <w:t>Законом Рязанской области от 14 мая 2013 г. № 24-ОЗ в часть 1 статьи 28 главы 5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1.</w:t>
      </w:r>
      <w:r>
        <w:rPr/>
        <w:t xml:space="preserve"> В одномандатном избирательном округе избирательное объединение вправе выдвинуть только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Избирательное объединение выдвигает кандидатов в депутаты по одномандатным (многомандатным) избирательным округам списком.</w:t>
      </w:r>
    </w:p>
    <w:p>
      <w:pPr>
        <w:pStyle w:val="style22"/>
        <w:rPr/>
      </w:pPr>
      <w:bookmarkStart w:id="297" w:name="Lbl282"/>
      <w:bookmarkEnd w:id="297"/>
      <w:r>
        <w:rPr>
          <w:rStyle w:val="style18"/>
        </w:rPr>
        <w:t>2.</w:t>
      </w:r>
      <w:r>
        <w:rPr/>
        <w:t xml:space="preserve"> Решение о выдвижении кандидатов по одномандатным (многомандатным) избирательным округам принимается политической партией тайным голосованием, а также с соблюдением иных требований, предъявляемых Федеральным законом «О политических партиях» к порядку выдвижения кандидатов. Решение о выдвижении кандидатов иным общественным объединением осуществляется на съезде (конференции, общем собрании) указанного общественного объединения, его регионального или местного отделения тайным голосованием, а также с соблюдением иных требований, предъявляемых федеральным законом к выдвижению кандидатов для политических партий.</w:t>
      </w:r>
    </w:p>
    <w:p>
      <w:pPr>
        <w:pStyle w:val="style22"/>
        <w:rPr/>
      </w:pPr>
      <w:bookmarkStart w:id="298" w:name="Lbl283"/>
      <w:bookmarkEnd w:id="298"/>
      <w:r>
        <w:rPr>
          <w:rStyle w:val="style18"/>
        </w:rPr>
        <w:t>3.</w:t>
      </w:r>
      <w:r>
        <w:rPr/>
        <w:t xml:space="preserve"> Решение о выдвижении кандидата, принятое в соответствии с </w:t>
      </w:r>
      <w:hyperlink w:anchor="Lbl282">
        <w:r>
          <w:rPr>
            <w:rStyle w:val="style17"/>
          </w:rPr>
          <w:t>частью 2</w:t>
        </w:r>
      </w:hyperlink>
      <w:r>
        <w:rPr/>
        <w:t xml:space="preserve"> настоящей статьи, оформляется протоколом (иным документом, предусмотренным уставом политической партии), в котором должны быть указаны:</w:t>
      </w:r>
    </w:p>
    <w:p>
      <w:pPr>
        <w:pStyle w:val="style22"/>
        <w:rPr/>
      </w:pPr>
      <w:bookmarkStart w:id="299" w:name="Lbl2831"/>
      <w:bookmarkEnd w:id="299"/>
      <w:r>
        <w:rPr>
          <w:rStyle w:val="style18"/>
        </w:rPr>
        <w:t>1)</w:t>
      </w:r>
      <w:r>
        <w:rPr/>
        <w:t xml:space="preserve"> число зарегистрированных делегатов, присутствовавших на съезде политической партии, конференции ее регионального отделения, либо участников соответственно общего собрания регионального отделения или иного структурного подразделения политической партии, участников общего собрания общественного объединения;</w:t>
      </w:r>
    </w:p>
    <w:p>
      <w:pPr>
        <w:pStyle w:val="style22"/>
        <w:rPr/>
      </w:pPr>
      <w:bookmarkStart w:id="300" w:name="Lbl2832"/>
      <w:bookmarkEnd w:id="300"/>
      <w:r>
        <w:rPr>
          <w:rStyle w:val="style18"/>
        </w:rPr>
        <w:t>2)</w:t>
      </w:r>
      <w:r>
        <w:rPr/>
        <w:t xml:space="preserve"> число делегатов, присутствовавших на съезде политической партии или конференции ее регионального отделения, либо участников соответственно общего собрания регионального отделения или иного структурного подразделения политической партии, участников общего собрания общественного объединения, необходимое для принятия решения о выдвижении кандидатов;</w:t>
      </w:r>
    </w:p>
    <w:p>
      <w:pPr>
        <w:pStyle w:val="style22"/>
        <w:rPr/>
      </w:pPr>
      <w:bookmarkStart w:id="301" w:name="Lbl2833"/>
      <w:bookmarkEnd w:id="301"/>
      <w:r>
        <w:rPr>
          <w:rStyle w:val="style18"/>
        </w:rPr>
        <w:t>3)</w:t>
      </w:r>
      <w:r>
        <w:rPr/>
        <w:t xml:space="preserve"> решение о выдвижении кандидатов и итоги голосования по этому решению (с приложением списка кандидатов, выдвинутых по одномандатным (многомандатным) избирательным округам);</w:t>
      </w:r>
    </w:p>
    <w:p>
      <w:pPr>
        <w:pStyle w:val="style22"/>
        <w:rPr/>
      </w:pPr>
      <w:bookmarkStart w:id="302" w:name="Lbl2834"/>
      <w:bookmarkEnd w:id="302"/>
      <w:r>
        <w:rPr>
          <w:rStyle w:val="style18"/>
        </w:rPr>
        <w:t>4)</w:t>
      </w:r>
      <w:r>
        <w:rPr/>
        <w:t xml:space="preserve"> решение о назначении уполномоченных представителей избирательного объединения;</w:t>
      </w:r>
    </w:p>
    <w:p>
      <w:pPr>
        <w:pStyle w:val="style22"/>
        <w:rPr/>
      </w:pPr>
      <w:bookmarkStart w:id="303" w:name="Lbl2835"/>
      <w:bookmarkEnd w:id="303"/>
      <w:r>
        <w:rPr>
          <w:rStyle w:val="style18"/>
        </w:rPr>
        <w:t>5)</w:t>
      </w:r>
      <w:r>
        <w:rPr/>
        <w:t xml:space="preserve"> дата принятия решения.</w:t>
      </w:r>
    </w:p>
    <w:p>
      <w:pPr>
        <w:pStyle w:val="style22"/>
        <w:rPr/>
      </w:pPr>
      <w:bookmarkStart w:id="304" w:name="Lbl284"/>
      <w:bookmarkEnd w:id="304"/>
      <w:r>
        <w:rPr>
          <w:rStyle w:val="style18"/>
        </w:rPr>
        <w:t>4.</w:t>
      </w:r>
      <w:r>
        <w:rPr/>
        <w:t xml:space="preserve"> Список кандидатов, выдвинутых по одномандатным (многомандатным) избирательным округам, должен содержать номер избирательного округа, в котором будет (будут) баллотироваться каждый кандидат (кандидаты). Указанный список кандидатов заверяется подписью руководителя соответствующего избирательного объединения, а также печатью этого избирательного объединения (если оно обладает статусом юридического лица).</w:t>
      </w:r>
    </w:p>
    <w:p>
      <w:pPr>
        <w:pStyle w:val="style22"/>
        <w:rPr/>
      </w:pPr>
      <w:bookmarkStart w:id="305" w:name="Lbl285"/>
      <w:bookmarkEnd w:id="305"/>
      <w:r>
        <w:rPr>
          <w:rStyle w:val="style18"/>
        </w:rPr>
        <w:t>5.</w:t>
      </w:r>
      <w:r>
        <w:rPr/>
        <w:t xml:space="preserve"> Выдвижение избирательным объединением кандидатов по одномандатным (многомандатным) избирательным округам не производится в случае, если на выборах депутатов представительного органа муниципального образования применяется пропорциональная избирательная система.</w:t>
      </w:r>
    </w:p>
    <w:p>
      <w:pPr>
        <w:pStyle w:val="style47"/>
        <w:rPr/>
      </w:pPr>
      <w:bookmarkStart w:id="306" w:name="Lbl29"/>
      <w:bookmarkEnd w:id="306"/>
      <w:r>
        <w:rPr/>
        <w:t>Статья 29</w:t>
      </w:r>
    </w:p>
    <w:p>
      <w:pPr>
        <w:pStyle w:val="style46"/>
        <w:rPr/>
      </w:pPr>
      <w:r>
        <w:rPr>
          <w:rStyle w:val="style18"/>
        </w:rPr>
        <w:t>Статья 29.</w:t>
      </w:r>
      <w:r>
        <w:rPr/>
        <w:t xml:space="preserve"> Выдвижение избирательными объединениями муниципальных списков кандидатов по единому избирательному округу</w:t>
      </w:r>
    </w:p>
    <w:p>
      <w:pPr>
        <w:pStyle w:val="style41"/>
        <w:rPr/>
      </w:pPr>
      <w:bookmarkStart w:id="307" w:name="Lbl291"/>
      <w:bookmarkEnd w:id="307"/>
      <w:r>
        <w:rPr/>
        <w:t>Законом Рязанской области от 14 мая 2013 г. № 24-ОЗ в часть 1 статьи 29 главы 5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1.</w:t>
      </w:r>
      <w:r>
        <w:rPr/>
        <w:t xml:space="preserve"> Выдвижение муниципального списка кандидатов по единому избирательному округу политическими партиями осуществляется в соответствии с Федеральным законом «О политических партиях».</w:t>
      </w:r>
    </w:p>
    <w:p>
      <w:pPr>
        <w:pStyle w:val="style22"/>
        <w:rPr/>
      </w:pPr>
      <w:r>
        <w:rPr/>
        <w:t>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pPr>
        <w:pStyle w:val="style22"/>
        <w:rPr/>
      </w:pPr>
      <w:r>
        <w:rPr/>
        <w:t>Выдвижение муниципального списка кандидатов по единому округу может производиться избирательным объединением после официального опубликования (публикации) решения о назначении выборов, но не позднее чем за 50 дней до дня голосования.</w:t>
      </w:r>
    </w:p>
    <w:p>
      <w:pPr>
        <w:pStyle w:val="style22"/>
        <w:rPr/>
      </w:pPr>
      <w:r>
        <w:rPr/>
        <w:t>В случае проведения выборов только по пропорциональной системе выдвижение муниципального списка кандидатов по единому избирательному округу осуществляется избирательными объединениями после официального опубликования (публикации) решения о назначении выборов и заканчивается не позднее, чем за 50 дней до дня голосования.</w:t>
      </w:r>
    </w:p>
    <w:p>
      <w:pPr>
        <w:pStyle w:val="style22"/>
        <w:rPr/>
      </w:pPr>
      <w:bookmarkStart w:id="308" w:name="Lbl292"/>
      <w:bookmarkEnd w:id="308"/>
      <w:r>
        <w:rPr>
          <w:rStyle w:val="style18"/>
        </w:rPr>
        <w:t>2.</w:t>
      </w:r>
      <w:r>
        <w:rPr/>
        <w:t xml:space="preserve">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законом «О политических партиях».</w:t>
      </w:r>
    </w:p>
    <w:p>
      <w:pPr>
        <w:pStyle w:val="style22"/>
        <w:rPr/>
      </w:pPr>
      <w:bookmarkStart w:id="309" w:name="Lbl293"/>
      <w:bookmarkEnd w:id="309"/>
      <w:r>
        <w:rPr>
          <w:rStyle w:val="style18"/>
        </w:rPr>
        <w:t>3.</w:t>
      </w:r>
      <w:r>
        <w:rPr/>
        <w:t xml:space="preserve"> Избирательное объединение вправе выдвигать в составе муниципального списка кандидатов лиц, не являющихся членами избирательных объединений. Указанные лица могут составлять не более 25 процентов от числа кандидатов, включенных в муниципальный список кандидатов.</w:t>
      </w:r>
    </w:p>
    <w:p>
      <w:pPr>
        <w:pStyle w:val="style22"/>
        <w:rPr/>
      </w:pPr>
      <w:r>
        <w:rPr/>
        <w:t>В едином избирательном округе избирательное объединение вправе выдвинуть один муниципальный список кандидатов.</w:t>
      </w:r>
    </w:p>
    <w:p>
      <w:pPr>
        <w:pStyle w:val="style22"/>
        <w:rPr/>
      </w:pPr>
      <w:bookmarkStart w:id="310" w:name="Lbl294"/>
      <w:bookmarkEnd w:id="310"/>
      <w:r>
        <w:rPr>
          <w:rStyle w:val="style18"/>
        </w:rPr>
        <w:t>4.</w:t>
      </w:r>
      <w:r>
        <w:rPr/>
        <w:t xml:space="preserve"> Муниципальный список кандидатов, выдвинутый избирательным объединением, заверяется подписью руководителя избирательного объединения и печатью избирательного объединения. В случае если избирательным объединением является местное отделение политической партии, которое не наделено правами юридического лица, муниципальный список кандидатов заверяется подписью руководителя местного отделения политической партии и печатью регионального отделения политической партии.</w:t>
      </w:r>
    </w:p>
    <w:p>
      <w:pPr>
        <w:pStyle w:val="style22"/>
        <w:rPr/>
      </w:pPr>
      <w:bookmarkStart w:id="311" w:name="Lbl295"/>
      <w:bookmarkEnd w:id="311"/>
      <w:r>
        <w:rPr>
          <w:rStyle w:val="style18"/>
        </w:rPr>
        <w:t>5.</w:t>
      </w:r>
      <w:r>
        <w:rPr/>
        <w:t xml:space="preserve"> Состав муниципального списка кандидатов и порядок размещения в нем кандидатов определяются избирательным объединением в соответствии с требованиями настоящей статьи.</w:t>
      </w:r>
    </w:p>
    <w:p>
      <w:pPr>
        <w:pStyle w:val="style22"/>
        <w:rPr/>
      </w:pPr>
      <w:bookmarkStart w:id="312" w:name="Lbl296"/>
      <w:bookmarkEnd w:id="312"/>
      <w:r>
        <w:rPr>
          <w:rStyle w:val="style18"/>
        </w:rPr>
        <w:t>6.</w:t>
      </w:r>
      <w:r>
        <w:rPr/>
        <w:t xml:space="preserve"> В муниципальный список кандидатов могут входить кандидаты, выдвигаемые тем же избирательным объединением по одномандатным и многомандатным избирательным округам.</w:t>
      </w:r>
    </w:p>
    <w:p>
      <w:pPr>
        <w:pStyle w:val="style41"/>
        <w:rPr/>
      </w:pPr>
      <w:bookmarkStart w:id="313" w:name="Lbl297"/>
      <w:bookmarkEnd w:id="313"/>
      <w:r>
        <w:rPr/>
        <w:t>Законом Рязанской области от 14 мая 2013 г. № 24-ОЗ в часть 7 статьи 29 главы 5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7.</w:t>
      </w:r>
      <w:r>
        <w:rPr/>
        <w:t xml:space="preserve"> Общее число кандидатов, выдвигаемых избирательным объединением по единому избирательному округу не может превышать количество депутатов, избираемых по пропорциональной избирательной системе, более чем в три раза.</w:t>
      </w:r>
    </w:p>
    <w:p>
      <w:pPr>
        <w:pStyle w:val="style22"/>
        <w:rPr/>
      </w:pPr>
      <w:r>
        <w:rPr/>
        <w:t>Кандидат может упоминаться в списке только один раз.</w:t>
      </w:r>
    </w:p>
    <w:p>
      <w:pPr>
        <w:pStyle w:val="style41"/>
        <w:rPr/>
      </w:pPr>
      <w:bookmarkStart w:id="314" w:name="Lbl298"/>
      <w:bookmarkEnd w:id="314"/>
      <w:r>
        <w:rPr/>
        <w:t>Законом Рязанской области от 14 мая 2013 г. № 24-ОЗ часть 8 статьи 29 главы 5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8.</w:t>
      </w:r>
      <w:r>
        <w:rPr/>
        <w:t xml:space="preserve"> Муниципальный список кандидатов должен быть разбит на общемуниципальную и внутримуниципальные группы. В общемуниципальную группу должно быть включено три кандидата, во внутримуниципальную — не менее двух кандидатов.</w:t>
      </w:r>
    </w:p>
    <w:p>
      <w:pPr>
        <w:pStyle w:val="style22"/>
        <w:rPr/>
      </w:pPr>
      <w:r>
        <w:rPr/>
        <w:t>Каждой внутримуниципальной группе кандидатов присваивается порядковый номер и указывается, какому одномандатному (многомандатному) избирательному округу или территории, определенной избирательной комиссией муниципального образования, она соответствует.</w:t>
      </w:r>
    </w:p>
    <w:p>
      <w:pPr>
        <w:pStyle w:val="style22"/>
        <w:rPr/>
      </w:pPr>
      <w:bookmarkStart w:id="315" w:name="Lbl2983"/>
      <w:bookmarkEnd w:id="315"/>
      <w:r>
        <w:rPr/>
        <w:t>Число внутримуниципальных групп определяется решением избирательного объединения, выдвинувшего муниципальный список кандидатов, и не может быть менее 3/4 от числа территорий, которым должны соответствовать внутримуниципальные группы кандидатов, и более числа, которым должны соответствовать внутримуниципальные группы кандидатов.</w:t>
      </w:r>
    </w:p>
    <w:p>
      <w:pPr>
        <w:pStyle w:val="style22"/>
        <w:rPr/>
      </w:pPr>
      <w:r>
        <w:rPr/>
        <w:t>В случае, если в муниципальном списке кандидатов число внутримуниципальных групп кандидатов меньше числа территорий, которым должны соответствовать внутримуниципальные группы кандидатов, то избирательное объединение вправе выбирать любые территории, которым должны соответствовать внутримуниципальные группы кандидатов, но не вправе объединять их или дробить.</w:t>
      </w:r>
    </w:p>
    <w:p>
      <w:pPr>
        <w:pStyle w:val="style41"/>
        <w:rPr/>
      </w:pPr>
      <w:bookmarkStart w:id="316" w:name="Lbl299"/>
      <w:bookmarkEnd w:id="316"/>
      <w:r>
        <w:rPr/>
        <w:t>Законом Рязанской области от 14 мая 2013 г. № 24-ОЗ часть 9 статьи 29 главы 5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9.</w:t>
      </w:r>
      <w:r>
        <w:rPr/>
        <w:t xml:space="preserve"> Число территорий, которым должны соответствовать внутримуниципальные группы кандидатов, должно быть равно числу одномандатных (многомандатных) избирательных округов. Границы территорий, которым должны соответствовать внутримуниципальные группы кандидатов, должны соответствовать границам одномандатных (многомандатных) избирательных округов.</w:t>
      </w:r>
    </w:p>
    <w:p>
      <w:pPr>
        <w:pStyle w:val="style22"/>
        <w:rPr/>
      </w:pPr>
      <w:r>
        <w:rPr/>
        <w:t>В случае, когда на выборах депутатов представительного органа муниципального образования применяется исключительно пропорциональная избирательная система, Избирательная комиссия муниципального образования не позднее чем за 20 дней до истечения срока, в который должны быть назначены такие выборы, определяет границы территорий, которым должны соответствовать внутримуниципальные группы кандидатов, и их номера. В этом случае количество территорий, которым должны соответствовать внутримуниципальные группы кандидатов, должно быть равно количеству депутатских мандатов, подлежащих распределению между муниципальными списками кандидатов по единому избирательному округу. Границы каждой территории определяются с учетом следующих требований:</w:t>
      </w:r>
    </w:p>
    <w:p>
      <w:pPr>
        <w:pStyle w:val="style22"/>
        <w:rPr/>
      </w:pPr>
      <w:bookmarkStart w:id="317" w:name="Lbl2991"/>
      <w:bookmarkEnd w:id="317"/>
      <w:r>
        <w:rPr>
          <w:rStyle w:val="style18"/>
        </w:rPr>
        <w:t>1)</w:t>
      </w:r>
      <w:r>
        <w:rPr/>
        <w:t xml:space="preserve"> территория муниципального образования делится на число, соответствующее количеству депутатских мандатов, подлежащих распределению между муниципальными списками кандидатов по единому избирательному округу, с допустимым отклонением числа избирателей, зарегистрированных на части территории муниципального образования, от числа избирателей, зарегистрированных на каждой из других частей, не более чем на 15 процентов.</w:t>
      </w:r>
    </w:p>
    <w:p>
      <w:pPr>
        <w:pStyle w:val="style22"/>
        <w:rPr/>
      </w:pPr>
      <w:r>
        <w:rPr/>
        <w:t>При соблюдении указанного требования учитывается сложившаяся практика образования избирательных участков;</w:t>
      </w:r>
    </w:p>
    <w:p>
      <w:pPr>
        <w:pStyle w:val="style22"/>
        <w:rPr/>
      </w:pPr>
      <w:bookmarkStart w:id="318" w:name="Lbl2992"/>
      <w:bookmarkEnd w:id="318"/>
      <w:r>
        <w:rPr>
          <w:rStyle w:val="style18"/>
        </w:rPr>
        <w:t>2)</w:t>
      </w:r>
      <w:r>
        <w:rPr/>
        <w:t xml:space="preserve"> не допускается образование территории из территорий, не граничащих между собой.</w:t>
      </w:r>
    </w:p>
    <w:p>
      <w:pPr>
        <w:pStyle w:val="style22"/>
        <w:rPr/>
      </w:pPr>
      <w:r>
        <w:rPr/>
        <w:t>Решение избирательной комиссии муниципального образования об образовании территорий, которым должны соответствовать внутримуниципальные группы кандидатов, с указанием номера территории подлежит официальному опубликованию в средствах массовой информации не позднее чем в пятидневный срок со дня его принятия.</w:t>
      </w:r>
    </w:p>
    <w:p>
      <w:pPr>
        <w:pStyle w:val="style22"/>
        <w:rPr/>
      </w:pPr>
      <w:bookmarkStart w:id="319" w:name="Lbl2910"/>
      <w:bookmarkEnd w:id="319"/>
      <w:r>
        <w:rPr>
          <w:rStyle w:val="style18"/>
        </w:rPr>
        <w:t>10.</w:t>
      </w:r>
      <w:r>
        <w:rPr/>
        <w:t xml:space="preserve"> Утратила силу.</w:t>
      </w:r>
    </w:p>
    <w:p>
      <w:pPr>
        <w:pStyle w:val="style41"/>
        <w:rPr/>
      </w:pPr>
      <w:r>
        <w:rPr/>
        <w:t>См. текст части 10 статьи 29</w:t>
      </w:r>
    </w:p>
    <w:p>
      <w:pPr>
        <w:pStyle w:val="style22"/>
        <w:rPr/>
      </w:pPr>
      <w:bookmarkStart w:id="320" w:name="Lbl2911"/>
      <w:bookmarkEnd w:id="320"/>
      <w:r>
        <w:rPr>
          <w:rStyle w:val="style18"/>
        </w:rPr>
        <w:t>11.</w:t>
      </w:r>
      <w:r>
        <w:rPr/>
        <w:t xml:space="preserve"> Утратила силу.</w:t>
      </w:r>
    </w:p>
    <w:p>
      <w:pPr>
        <w:pStyle w:val="style41"/>
        <w:rPr/>
      </w:pPr>
      <w:r>
        <w:rPr/>
        <w:t>См. текст части 11 статьи 29</w:t>
      </w:r>
    </w:p>
    <w:p>
      <w:pPr>
        <w:pStyle w:val="style47"/>
        <w:rPr/>
      </w:pPr>
      <w:bookmarkStart w:id="321" w:name="Lbl30"/>
      <w:bookmarkEnd w:id="321"/>
      <w:r>
        <w:rPr/>
        <w:t>Статья 30</w:t>
      </w:r>
    </w:p>
    <w:p>
      <w:pPr>
        <w:pStyle w:val="style46"/>
        <w:rPr/>
      </w:pPr>
      <w:r>
        <w:rPr>
          <w:rStyle w:val="style18"/>
        </w:rPr>
        <w:t>Статья 30.</w:t>
      </w:r>
      <w:r>
        <w:rPr/>
        <w:t xml:space="preserve"> Представление списков кандидатов и иных избирательных документов избирательных объединений в избирательную комиссию муниципального образования. Представление документов кандидатов, выдвинутых избирательными объединениями по одномандатным (многомандатным) избирательным округам, в окружные избирательные комиссии</w:t>
      </w:r>
    </w:p>
    <w:p>
      <w:pPr>
        <w:pStyle w:val="style22"/>
        <w:rPr/>
      </w:pPr>
      <w:bookmarkStart w:id="322" w:name="Lbl3011"/>
      <w:bookmarkEnd w:id="322"/>
      <w:r>
        <w:rPr>
          <w:rStyle w:val="style18"/>
        </w:rPr>
        <w:t>1.</w:t>
      </w:r>
      <w:r>
        <w:rPr/>
        <w:t xml:space="preserve"> Муниципальный список кандидатов и (или) список кандидатов, выдвинутых избирательным объединением по одномандатным (многомандатным) избирательным округам (далее — списки кандидатов), представляются уполномоченным представителем избирательного объединения в избирательную комиссию муниципального образования не позднее чем за 45 дней до дня голосования. В этих списках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номер и (или) наименование одномандатного (многомандатного) избирательного округа, по которому выдвигается кандидат. Списки кандидатов представляются в избирательную комиссию муниципального образования в печатном и в машиночитаемом виде по форме, установленной избирательной комиссией муниципального образования. Муниципальный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 (если избирательное объединение является юридическим лицом).</w:t>
      </w:r>
    </w:p>
    <w:p>
      <w:pPr>
        <w:pStyle w:val="style22"/>
        <w:rPr/>
      </w:pPr>
      <w:bookmarkStart w:id="323" w:name="Lbl3012"/>
      <w:bookmarkEnd w:id="323"/>
      <w:r>
        <w:rPr>
          <w:rStyle w:val="style18"/>
        </w:rPr>
        <w:t>2.</w:t>
      </w:r>
      <w:r>
        <w:rPr/>
        <w:t xml:space="preserve"> Одновременно со списками кандидатов, указанными в </w:t>
      </w:r>
      <w:hyperlink w:anchor="Lbl3011">
        <w:r>
          <w:rPr>
            <w:rStyle w:val="style17"/>
          </w:rPr>
          <w:t>части 1</w:t>
        </w:r>
      </w:hyperlink>
      <w:r>
        <w:rPr/>
        <w:t xml:space="preserve"> настоящей статьи, уполномоченный представитель избирательного объединения представляет следующие документы:</w:t>
      </w:r>
    </w:p>
    <w:p>
      <w:pPr>
        <w:pStyle w:val="style41"/>
        <w:rPr/>
      </w:pPr>
      <w:bookmarkStart w:id="324" w:name="Lbl3021"/>
      <w:bookmarkEnd w:id="324"/>
      <w:r>
        <w:rPr/>
        <w:t>Законом Рязанской области от 14 мая 2013 г. № 24-ОЗ пункт 1 части 2 статьи 30 главы 5 настоящего Закона изложен в новой редакции, вступающей в силу через десять дней после дня официального опубликования названного Закона</w:t>
      </w:r>
    </w:p>
    <w:p>
      <w:pPr>
        <w:pStyle w:val="style41"/>
        <w:rPr/>
      </w:pPr>
      <w:r>
        <w:rPr/>
        <w:t>См. текст пункта в предыдущей редакции</w:t>
      </w:r>
    </w:p>
    <w:p>
      <w:pPr>
        <w:pStyle w:val="style22"/>
        <w:rPr/>
      </w:pPr>
      <w:r>
        <w:rPr>
          <w:rStyle w:val="style18"/>
        </w:rPr>
        <w:t>1)</w:t>
      </w:r>
      <w:r>
        <w:rPr/>
        <w:t xml:space="preserve"> копии документов о государственной регистрации избирательного объединения, заверенные уполномоченным представителем избирательного объединения. Если избирательное объединение не является юридическим лицом, представляется также решение о его создании;</w:t>
      </w:r>
    </w:p>
    <w:p>
      <w:pPr>
        <w:pStyle w:val="style41"/>
        <w:rPr/>
      </w:pPr>
      <w:bookmarkStart w:id="325" w:name="Lbl3022"/>
      <w:bookmarkEnd w:id="325"/>
      <w:r>
        <w:rPr/>
        <w:t>Законом Рязанской области от 9 декабря 2011 г. № 117-ОЗ пункт 2 части 2 статьи 30 главы 5 настоящего Закона изложен в новой редакции</w:t>
      </w:r>
    </w:p>
    <w:p>
      <w:pPr>
        <w:pStyle w:val="style41"/>
        <w:rPr/>
      </w:pPr>
      <w:r>
        <w:rPr/>
        <w:t>См. текст пункта в предыдущей редакции</w:t>
      </w:r>
    </w:p>
    <w:p>
      <w:pPr>
        <w:pStyle w:val="style22"/>
        <w:rPr/>
      </w:pPr>
      <w:r>
        <w:rPr>
          <w:rStyle w:val="style18"/>
        </w:rPr>
        <w:t>2)</w:t>
      </w:r>
      <w:r>
        <w:rPr/>
        <w:t xml:space="preserve">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pPr>
        <w:pStyle w:val="style22"/>
        <w:rPr/>
      </w:pPr>
      <w:bookmarkStart w:id="326" w:name="Lbl3023"/>
      <w:bookmarkEnd w:id="326"/>
      <w:r>
        <w:rPr>
          <w:rStyle w:val="style18"/>
        </w:rPr>
        <w:t>3)</w:t>
      </w:r>
      <w:r>
        <w:rPr/>
        <w:t xml:space="preserve"> решение (решения) съезда (конференции) политической партии о выдвижении списка (списков) кандидатов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pPr>
        <w:pStyle w:val="style41"/>
        <w:rPr/>
      </w:pPr>
      <w:bookmarkStart w:id="327" w:name="Lbl3024"/>
      <w:bookmarkEnd w:id="327"/>
      <w:r>
        <w:rPr/>
        <w:t>Законом Рязанской области от 14 мая 2013 г. № 24-ОЗ пункт 4 части 2 статьи 30 главы 5 настоящего Закона изложен в новой редакции, вступающей в силу через десять дней после дня официального опубликования названного Закона</w:t>
      </w:r>
    </w:p>
    <w:p>
      <w:pPr>
        <w:pStyle w:val="style41"/>
        <w:rPr/>
      </w:pPr>
      <w:r>
        <w:rPr/>
        <w:t>См. текст пункта в предыдущей редакции</w:t>
      </w:r>
    </w:p>
    <w:p>
      <w:pPr>
        <w:pStyle w:val="style22"/>
        <w:rPr/>
      </w:pPr>
      <w:r>
        <w:rPr>
          <w:rStyle w:val="style18"/>
        </w:rPr>
        <w:t>4)</w:t>
      </w:r>
      <w:r>
        <w:rPr/>
        <w:t xml:space="preserve"> решение о назначении уполномоченных представителей избирательного объединения, в том числе уполномоченных представителей по финансовым вопросам; заверенные руководителем избирательного объединения копии паспортов уполномоченных представителей избирательного объединения, а также список уполномоченных представителей избирательного объединения с указанием сведений о них, перечисленных в </w:t>
      </w:r>
      <w:hyperlink w:anchor="Lbl251">
        <w:r>
          <w:rPr>
            <w:rStyle w:val="style17"/>
          </w:rPr>
          <w:t>части 1 статьи 25</w:t>
        </w:r>
      </w:hyperlink>
      <w:r>
        <w:rPr/>
        <w:t xml:space="preserve"> настоящего Закона;</w:t>
      </w:r>
    </w:p>
    <w:p>
      <w:pPr>
        <w:pStyle w:val="style41"/>
        <w:rPr/>
      </w:pPr>
      <w:bookmarkStart w:id="328" w:name="Lbl3025"/>
      <w:bookmarkEnd w:id="328"/>
      <w:r>
        <w:rPr/>
        <w:t>Законом Рязанской области от 14 мая 2013 г. № 24-ОЗ пункт 5 части 2 статьи 30 главы 5 настоящего Закона изложен в новой редакции, вступающей в силу через десять дней после дня официального опубликования названного Закона</w:t>
      </w:r>
    </w:p>
    <w:p>
      <w:pPr>
        <w:pStyle w:val="style41"/>
        <w:rPr/>
      </w:pPr>
      <w:r>
        <w:rPr/>
        <w:t>См. текст пункта в предыдущей редакции</w:t>
      </w:r>
    </w:p>
    <w:p>
      <w:pPr>
        <w:pStyle w:val="style22"/>
        <w:rPr/>
      </w:pPr>
      <w:r>
        <w:rPr>
          <w:rStyle w:val="style18"/>
        </w:rPr>
        <w:t>5)</w:t>
      </w:r>
      <w:r>
        <w:rPr/>
        <w:t xml:space="preserve"> доверенности уполномоченных представителей избирательного объединения, в том числе уполномоченных представителей по финансовым вопросам;</w:t>
      </w:r>
    </w:p>
    <w:p>
      <w:pPr>
        <w:pStyle w:val="style22"/>
        <w:rPr/>
      </w:pPr>
      <w:bookmarkStart w:id="329" w:name="Lbl3026"/>
      <w:bookmarkEnd w:id="329"/>
      <w:r>
        <w:rPr>
          <w:rStyle w:val="style18"/>
        </w:rPr>
        <w:t>6)</w:t>
      </w:r>
      <w:r>
        <w:rPr/>
        <w:t xml:space="preserve"> список граждан, включенных в соответствующий список кандидатов и являющихся членами данной политической партии;</w:t>
      </w:r>
    </w:p>
    <w:p>
      <w:pPr>
        <w:pStyle w:val="style41"/>
        <w:rPr/>
      </w:pPr>
      <w:bookmarkStart w:id="330" w:name="Lbl3027"/>
      <w:bookmarkEnd w:id="330"/>
      <w:r>
        <w:rPr/>
        <w:t>Законом Рязанской области от 14 мая 2013 г. № 24-ОЗ в пункт 7 части 2 статьи 30 главы 5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пункта в предыдущей редакции</w:t>
      </w:r>
    </w:p>
    <w:p>
      <w:pPr>
        <w:pStyle w:val="style22"/>
        <w:rPr/>
      </w:pPr>
      <w:r>
        <w:rPr>
          <w:rStyle w:val="style18"/>
        </w:rPr>
        <w:t>7)</w:t>
      </w:r>
      <w:r>
        <w:rPr/>
        <w:t xml:space="preserve">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 и иные документы, предусмотренные законом.</w:t>
      </w:r>
    </w:p>
    <w:p>
      <w:pPr>
        <w:pStyle w:val="style22"/>
        <w:rPr/>
      </w:pPr>
      <w:bookmarkStart w:id="331" w:name="Lbl3013"/>
      <w:bookmarkEnd w:id="331"/>
      <w:r>
        <w:rPr>
          <w:rStyle w:val="style18"/>
        </w:rPr>
        <w:t>3.</w:t>
      </w:r>
      <w:r>
        <w:rPr/>
        <w:t xml:space="preserve"> Уполномоченный представитель избирательного объединения одновременно с указанными в </w:t>
      </w:r>
      <w:hyperlink w:anchor="Lbl3011">
        <w:r>
          <w:rPr>
            <w:rStyle w:val="style17"/>
          </w:rPr>
          <w:t>частях 1</w:t>
        </w:r>
      </w:hyperlink>
      <w:r>
        <w:rPr/>
        <w:t xml:space="preserve"> и </w:t>
      </w:r>
      <w:hyperlink w:anchor="Lbl3012">
        <w:r>
          <w:rPr>
            <w:rStyle w:val="style17"/>
          </w:rPr>
          <w:t>2</w:t>
        </w:r>
      </w:hyperlink>
      <w:r>
        <w:rPr/>
        <w:t xml:space="preserve"> настоящей статьи документами представляет:</w:t>
      </w:r>
    </w:p>
    <w:p>
      <w:pPr>
        <w:pStyle w:val="style22"/>
        <w:rPr/>
      </w:pPr>
      <w:bookmarkStart w:id="332" w:name="Lbl3031"/>
      <w:bookmarkEnd w:id="332"/>
      <w:r>
        <w:rPr>
          <w:rStyle w:val="style18"/>
        </w:rPr>
        <w:t>1)</w:t>
      </w:r>
      <w:r>
        <w:rPr/>
        <w:t xml:space="preserve"> в отношении каждого из кандидатов — заявление кандидата в письменной форме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общественного объединения. Вместе с заявлением кандидат представляет копию паспорта или документа, заменяющего паспорт гражданина, а также копии документов, подтверждающих указанные в заявлении сведения об образовании, основном месте работы или службы, занимаемой должности (роде занятий), а также о том, что кандидат является депутатом. В случае наличия у кандидата неснятой и непогашенной судимости в заявлении указываются сведения о судимости кандидата;</w:t>
      </w:r>
    </w:p>
    <w:p>
      <w:pPr>
        <w:pStyle w:val="style22"/>
        <w:rPr/>
      </w:pPr>
      <w:bookmarkStart w:id="333" w:name="Lbl3032"/>
      <w:bookmarkEnd w:id="333"/>
      <w:r>
        <w:rPr>
          <w:rStyle w:val="style18"/>
        </w:rPr>
        <w:t>2)</w:t>
      </w:r>
      <w:r>
        <w:rPr/>
        <w:t xml:space="preserve"> в отношении кандидатов, включенных в муниципальный список кандидатов, —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в настоящей части сведения представляются по форме в соответствии с </w:t>
      </w:r>
      <w:hyperlink w:anchor="Lbl4000">
        <w:r>
          <w:rPr>
            <w:rStyle w:val="style17"/>
          </w:rPr>
          <w:t>приложением 4</w:t>
        </w:r>
      </w:hyperlink>
      <w:r>
        <w:rPr/>
        <w:t xml:space="preserve"> к настоящему Закону. Если кандидат не имеет имущества, принадлежащего ему на праве собственности, и (или) в течение года, предшествующего году назначения выборов, не получал доходов, сведения о которых должны представляться в соответствии с настоящей частью, это также указывается в заявлении кандидата о согласии баллотироваться по соответствующему избирательному округу.</w:t>
      </w:r>
    </w:p>
    <w:p>
      <w:pPr>
        <w:pStyle w:val="style22"/>
        <w:rPr/>
      </w:pPr>
      <w:bookmarkStart w:id="334" w:name="Lbl304"/>
      <w:bookmarkEnd w:id="334"/>
      <w:r>
        <w:rPr>
          <w:rStyle w:val="style18"/>
        </w:rPr>
        <w:t>4.</w:t>
      </w:r>
      <w:r>
        <w:rPr/>
        <w:t xml:space="preserve"> Кандидат, выдвинутый избирательным объединением, может быть включен в состав только одного муниципального списка кандидатов и выдвинут только по одному одномандатному (многомандатному) избирательному округу. Кандидат, выдвинутый избирательным объединением, не может выдвинуть свою кандидатуру в порядке самовыдвижения.</w:t>
      </w:r>
    </w:p>
    <w:p>
      <w:pPr>
        <w:pStyle w:val="style22"/>
        <w:rPr/>
      </w:pPr>
      <w:bookmarkStart w:id="335" w:name="Lbl305"/>
      <w:bookmarkEnd w:id="335"/>
      <w:r>
        <w:rPr>
          <w:rStyle w:val="style18"/>
        </w:rPr>
        <w:t>5.</w:t>
      </w:r>
      <w:r>
        <w:rPr/>
        <w:t xml:space="preserve"> Списки кандидатов и прилагаемые к ним документы принимаются избирательной комиссией муниципального образования вместе с заверенными уполномоченным представителем избирательного объединения копиями документа, удостоверяющего личность кандидата, а также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сведения о том, что кандидат является депутатом. Заверенные копии документов представляются в отношении каждого кандидата, включенного в список.</w:t>
      </w:r>
    </w:p>
    <w:p>
      <w:pPr>
        <w:pStyle w:val="style22"/>
        <w:rPr/>
      </w:pPr>
      <w:bookmarkStart w:id="336" w:name="Lbl306"/>
      <w:bookmarkEnd w:id="336"/>
      <w:r>
        <w:rPr>
          <w:rStyle w:val="style18"/>
        </w:rPr>
        <w:t>6.</w:t>
      </w:r>
      <w:r>
        <w:rPr/>
        <w:t xml:space="preserve"> Утратила силу.</w:t>
      </w:r>
    </w:p>
    <w:p>
      <w:pPr>
        <w:pStyle w:val="style41"/>
        <w:rPr/>
      </w:pPr>
      <w:r>
        <w:rPr/>
        <w:t>См. текст части 6 статьи 30</w:t>
      </w:r>
    </w:p>
    <w:p>
      <w:pPr>
        <w:pStyle w:val="style22"/>
        <w:rPr/>
      </w:pPr>
      <w:bookmarkStart w:id="337" w:name="Lbl307"/>
      <w:bookmarkEnd w:id="337"/>
      <w:r>
        <w:rPr>
          <w:rStyle w:val="style18"/>
        </w:rPr>
        <w:t>7.</w:t>
      </w:r>
      <w:r>
        <w:rPr/>
        <w:t xml:space="preserve"> Избирательная комиссия муниципального образования в течение трех дней со дня приема документов рассматривает представленные документы, принимает решение о заверении муниципального списка кандидатов и (или) списка кандидатов, выдвинутых по одномандатным (многомандатным) избирательным округам, и в течение одних суток с момента принятия соответствующего решения выдает уполномоченному представителю избирательного объединения решение о заверении муниципального списка кандидатов и (или) списка кандидатов, выдвинутых по одномандатным (многомандатным) избирательным округам, с заверенными копиями муниципального списка кандидатов и (или) заверенными копиями списка кандидатов, выдвинутых по одномандатным (многомандатным) избирательным округам, либо мотивированное решение об отказе в его заверении.</w:t>
      </w:r>
    </w:p>
    <w:p>
      <w:pPr>
        <w:pStyle w:val="style22"/>
        <w:rPr/>
      </w:pPr>
      <w:bookmarkStart w:id="338" w:name="Lbl308"/>
      <w:bookmarkEnd w:id="338"/>
      <w:r>
        <w:rPr>
          <w:rStyle w:val="style18"/>
        </w:rPr>
        <w:t>8.</w:t>
      </w:r>
      <w:r>
        <w:rPr/>
        <w:t xml:space="preserve"> Основаниями для отказа избирательному объединению в заверении муниципального списка кандидатов и (или) списка кандидатов, выдвинутых по одномандатным (многомандатным) избирательным округам, и выдаче заверенных копий списков кандидатов являются отсутствие документов, указанных в </w:t>
      </w:r>
      <w:hyperlink w:anchor="Lbl3011">
        <w:r>
          <w:rPr>
            <w:rStyle w:val="style17"/>
          </w:rPr>
          <w:t>частях 1 — 3</w:t>
        </w:r>
      </w:hyperlink>
      <w:r>
        <w:rPr/>
        <w:t xml:space="preserve"> настоящей статьи, нарушение порядка выдвижения кандидатов, установленного Федеральным законом «О политических партиях», </w:t>
      </w:r>
      <w:hyperlink w:anchor="Lbl26">
        <w:r>
          <w:rPr>
            <w:rStyle w:val="style17"/>
          </w:rPr>
          <w:t>статьями 26</w:t>
        </w:r>
      </w:hyperlink>
      <w:r>
        <w:rPr/>
        <w:t xml:space="preserve">, </w:t>
      </w:r>
      <w:hyperlink w:anchor="Lbl28">
        <w:r>
          <w:rPr>
            <w:rStyle w:val="style17"/>
          </w:rPr>
          <w:t>28</w:t>
        </w:r>
      </w:hyperlink>
      <w:r>
        <w:rPr/>
        <w:t xml:space="preserve">, </w:t>
      </w:r>
      <w:hyperlink w:anchor="Lbl29">
        <w:r>
          <w:rPr>
            <w:rStyle w:val="style17"/>
          </w:rPr>
          <w:t>29</w:t>
        </w:r>
      </w:hyperlink>
      <w:r>
        <w:rPr/>
        <w:t xml:space="preserve"> настоящего Закона и </w:t>
      </w:r>
      <w:hyperlink w:anchor="Lbl304">
        <w:r>
          <w:rPr>
            <w:rStyle w:val="style17"/>
          </w:rPr>
          <w:t>частью 4</w:t>
        </w:r>
      </w:hyperlink>
      <w:r>
        <w:rPr/>
        <w:t xml:space="preserve"> настоящей статьи. Отсутствие заверенной уполномоченным представителем избирательного объединения копии паспорта кандидата или документа, заменяющего паспорт гражданина, является основанием для исключения избирательной комиссией муниципального образования соответствующего кандидата из списка кандидатов по одномандатным (многомандатным) избирательным округам до его заверения.</w:t>
      </w:r>
    </w:p>
    <w:p>
      <w:pPr>
        <w:pStyle w:val="style22"/>
        <w:rPr/>
      </w:pPr>
      <w:bookmarkStart w:id="339" w:name="Lbl309"/>
      <w:bookmarkEnd w:id="339"/>
      <w:r>
        <w:rPr>
          <w:rStyle w:val="style18"/>
        </w:rPr>
        <w:t>9.</w:t>
      </w:r>
      <w:r>
        <w:rPr/>
        <w:t xml:space="preserve"> После представления в избирательную комиссию муниципального списка кандидатов, списка кандидатов, выдвинутых по одномандатным (многомандатным) избирательным округам, в состав списков и в порядок размещения в них кандидатов не могут быть внесены изменения, за исключением изменений, вызванных выбытием кандидатов либо по их личным заявлениям, либо в связи с отзывом кандидатов избирательным объединением, либо в связи со смертью кандидата, либо в связи с исключением кандидата из списка кандидатов решением избирательной комиссии муниципального образования.</w:t>
      </w:r>
    </w:p>
    <w:p>
      <w:pPr>
        <w:pStyle w:val="style22"/>
        <w:rPr/>
      </w:pPr>
      <w:bookmarkStart w:id="340" w:name="Lbl3010"/>
      <w:bookmarkEnd w:id="340"/>
      <w:r>
        <w:rPr>
          <w:rStyle w:val="style18"/>
        </w:rPr>
        <w:t>10.</w:t>
      </w:r>
      <w:r>
        <w:rPr/>
        <w:t xml:space="preserve"> Избирательная комиссия муниципального образования направляет решение о заверении списка кандидатов, выдвинутых по одномандатным (многомандатным) избирательным округам, с копиями заверенного списка кандидатов, выдвинутых избирательным объединением по одномандатным (многомандатным) избирательным округам (заверенными выписками из указанного списка), в соответствующие окружные избирательные комиссии в течение одних суток с момента принятия решения о заверении указанного списка.</w:t>
      </w:r>
    </w:p>
    <w:p>
      <w:pPr>
        <w:pStyle w:val="style22"/>
        <w:rPr/>
      </w:pPr>
      <w:bookmarkStart w:id="341" w:name="Lbl311"/>
      <w:bookmarkEnd w:id="341"/>
      <w:r>
        <w:rPr>
          <w:rStyle w:val="style18"/>
        </w:rPr>
        <w:t>11.</w:t>
      </w:r>
      <w:r>
        <w:rPr/>
        <w:t xml:space="preserve"> Кандидат, выдвинутый избирательным объединением по одномандатному (многомандатному) избирательному округу и находящийся в заверенном избирательной комиссией муниципального образования списке кандидатов, обязан представить в соответствующую окружную избирательную комиссию свое заявление о согласии баллотироваться по одномандатному (многомандатному) избирательному округу с обязательством в случае избрания прекратить деятельность, несовместимую со статусом депутата представительного органа муниципального образования, и с иными сведениями о себе, указанными в </w:t>
      </w:r>
      <w:hyperlink w:anchor="Lbl3031">
        <w:r>
          <w:rPr>
            <w:rStyle w:val="style17"/>
          </w:rPr>
          <w:t>пункте 1 части 3</w:t>
        </w:r>
      </w:hyperlink>
      <w:r>
        <w:rPr/>
        <w:t xml:space="preserve"> настоящей статьи. Кандидат вправе представить в окружную избирательную комиссию также заверенную избирательной комиссией муниципального образования копию списка кандидатов, выдвинутых по одномандатным (многомандатным) избирательным округам.</w:t>
      </w:r>
    </w:p>
    <w:p>
      <w:pPr>
        <w:pStyle w:val="style22"/>
        <w:rPr/>
      </w:pPr>
      <w:r>
        <w:rPr/>
        <w:t>Представление данных документов считается уведомлением о выдвижении кандидата по одномандатному (многомандатному) избирательному округу.</w:t>
      </w:r>
    </w:p>
    <w:p>
      <w:pPr>
        <w:pStyle w:val="style22"/>
        <w:rPr/>
      </w:pPr>
      <w:bookmarkStart w:id="342" w:name="Lbl312"/>
      <w:bookmarkEnd w:id="342"/>
      <w:r>
        <w:rPr>
          <w:rStyle w:val="style18"/>
        </w:rPr>
        <w:t>12.</w:t>
      </w:r>
      <w:r>
        <w:rPr/>
        <w:t xml:space="preserve"> Вместе с заявлением о согласии баллотироваться кандидат, выдвинутый по избирательному округу, образованному в соответствии со средней нормой представительства избирателей, превышающей пять тысяч избирателей, представляет в окружную избирательную комиссию сведения о размере и об источниках своих доходов, а также об имуществе, принадлежащем ему на праве собственности (в том числе совместной собственности), о вкладах в банках, ценных бумагах. Указанные в настоящей части сведения представляются по форме в соответствии с </w:t>
      </w:r>
      <w:hyperlink w:anchor="Lbl4000">
        <w:r>
          <w:rPr>
            <w:rStyle w:val="style17"/>
          </w:rPr>
          <w:t>приложением 4</w:t>
        </w:r>
      </w:hyperlink>
      <w:r>
        <w:rPr/>
        <w:t xml:space="preserve"> к настоящему Закону. Если кандидат не имеет имущества, принадлежащего ему на праве собственности, и (или) в течение года, предшествующего году назначения выборов, не получал доходов, сведения о которых должны представляться в соответствии с настоящей частью, это также указывается в заявлении кандидата о согласии баллотироваться по соответствующему избирательному округу.</w:t>
      </w:r>
    </w:p>
    <w:p>
      <w:pPr>
        <w:pStyle w:val="style22"/>
        <w:rPr/>
      </w:pPr>
      <w:bookmarkStart w:id="343" w:name="Lbl313"/>
      <w:bookmarkEnd w:id="343"/>
      <w:r>
        <w:rPr>
          <w:rStyle w:val="style18"/>
        </w:rPr>
        <w:t>13.</w:t>
      </w:r>
      <w:r>
        <w:rPr/>
        <w:t xml:space="preserve"> Уведомление о выдвижении кандидата и прилагаемые к нему документы принимаются окружной избирательной комиссией при предъявлении документа, удостоверяющего личность кандидата (если уведомление представляется иным лицом — при предъявлении нотариально удостоверенной копии документа, удостоверяющего личность кандидата). Копия документа, удостоверяющего личность кандидата, изготавливается окружной избирательной комиссией в присутствии кандидата, заверяется подписью лица, принявшего уведомление, и прилагается к уведомлению.</w:t>
      </w:r>
    </w:p>
    <w:p>
      <w:pPr>
        <w:pStyle w:val="style22"/>
        <w:rPr/>
      </w:pPr>
      <w:bookmarkStart w:id="344" w:name="Lbl3014"/>
      <w:bookmarkEnd w:id="344"/>
      <w:r>
        <w:rPr>
          <w:rStyle w:val="style18"/>
        </w:rPr>
        <w:t>14.</w:t>
      </w:r>
      <w:r>
        <w:rPr/>
        <w:t xml:space="preserve"> Соответствующая избирательная комиссия обязана выдать письменное подтверждение получения документов, указанных в </w:t>
      </w:r>
      <w:hyperlink w:anchor="Lbl311">
        <w:r>
          <w:rPr>
            <w:rStyle w:val="style17"/>
          </w:rPr>
          <w:t>частях 11</w:t>
        </w:r>
      </w:hyperlink>
      <w:r>
        <w:rPr/>
        <w:t xml:space="preserve"> и </w:t>
      </w:r>
      <w:hyperlink w:anchor="Lbl312">
        <w:r>
          <w:rPr>
            <w:rStyle w:val="style17"/>
          </w:rPr>
          <w:t>12</w:t>
        </w:r>
      </w:hyperlink>
      <w:r>
        <w:rPr/>
        <w:t xml:space="preserve"> настоящей статьи, лицам, представившим эти документы. Подтверждение выдается незамедлительно после представления документов.</w:t>
      </w:r>
    </w:p>
    <w:p>
      <w:pPr>
        <w:pStyle w:val="style41"/>
        <w:rPr/>
      </w:pPr>
      <w:bookmarkStart w:id="345" w:name="Lbl3015"/>
      <w:bookmarkEnd w:id="345"/>
      <w:r>
        <w:rPr/>
        <w:t>Законом Рязанской области от 9 декабря 2011 г. № 117-ОЗ в часть 15 статьи 30 главы 5 настоящего Закона внесены изменения</w:t>
      </w:r>
    </w:p>
    <w:p>
      <w:pPr>
        <w:pStyle w:val="style41"/>
        <w:rPr/>
      </w:pPr>
      <w:r>
        <w:rPr/>
        <w:t>См. текст части в предыдущей редакции</w:t>
      </w:r>
    </w:p>
    <w:p>
      <w:pPr>
        <w:pStyle w:val="style22"/>
        <w:rPr/>
      </w:pPr>
      <w:r>
        <w:rPr>
          <w:rStyle w:val="style18"/>
        </w:rPr>
        <w:t>15.</w:t>
      </w:r>
      <w:r>
        <w:rPr/>
        <w:t xml:space="preserve"> Избирательная комиссия муниципального образования обеспечивает оперативную доступность заверенных муниципальных списков кандидатов и списков кандидатов, выдвинутых избирательными объединениями по одномандатным (многомандатным) избирательным округам, и к информации об изменениях в них (в режиме «только чтение») абонентам информационно-телекоммуникационной сети «Интернет». Окружные избирательные комиссии обеспечивают доступ к информации, содержащей сведения о кандидатах, выдвинутых по одномандатным (многомандатным) избирательным округам, а также к информации об изменении сведений о кандидатах.</w:t>
      </w:r>
    </w:p>
    <w:p>
      <w:pPr>
        <w:pStyle w:val="style22"/>
        <w:rPr/>
      </w:pPr>
      <w:bookmarkStart w:id="346" w:name="Lbl3016"/>
      <w:bookmarkEnd w:id="346"/>
      <w:r>
        <w:rPr>
          <w:rStyle w:val="style18"/>
        </w:rPr>
        <w:t>16.</w:t>
      </w:r>
      <w:r>
        <w:rPr/>
        <w:t xml:space="preserve"> Избирательное объединение по решению уполномоченного на то органа избирательного объединения не позднее чем за 45 дней до дня голосования вправе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избирательную комиссию муниципального образования и соответствующие окружные избирательные комиссии. В указанном случае кандидат подает в избирательную комиссию муниципального образования и в соответствующую окружную избирательную комиссию заявление о согласии баллотироваться по соответствующему одномандатному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w:t>
      </w:r>
    </w:p>
    <w:p>
      <w:pPr>
        <w:pStyle w:val="style22"/>
        <w:rPr/>
      </w:pPr>
      <w:bookmarkStart w:id="347" w:name="Lbl3017"/>
      <w:bookmarkEnd w:id="347"/>
      <w:r>
        <w:rPr>
          <w:rStyle w:val="style18"/>
        </w:rPr>
        <w:t>17.</w:t>
      </w:r>
      <w:r>
        <w:rPr/>
        <w:t xml:space="preserve"> Избирательная комиссия муниципального образования обращается с представлением о проверке достоверности сведений о кандидатах, представляемых в соответствии с </w:t>
      </w:r>
      <w:hyperlink w:anchor="Lbl3013">
        <w:r>
          <w:rPr>
            <w:rStyle w:val="style17"/>
          </w:rPr>
          <w:t>частью 3</w:t>
        </w:r>
      </w:hyperlink>
      <w:r>
        <w:rP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Lbl3031">
        <w:r>
          <w:rPr>
            <w:rStyle w:val="style17"/>
          </w:rPr>
          <w:t>пунктом 1 части 3</w:t>
        </w:r>
      </w:hyperlink>
      <w:r>
        <w:rPr/>
        <w:t xml:space="preserve"> настоящей статьи, в течение 10 дней, а сведений, представляемых в соответствии с </w:t>
      </w:r>
      <w:hyperlink w:anchor="Lbl3032">
        <w:r>
          <w:rPr>
            <w:rStyle w:val="style17"/>
          </w:rPr>
          <w:t>пунктом 2 части 3</w:t>
        </w:r>
      </w:hyperlink>
      <w:r>
        <w:rPr/>
        <w:t xml:space="preserve"> настоящей статьи, — в течение 20 дней.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 муниципального образования.</w:t>
      </w:r>
    </w:p>
    <w:p>
      <w:pPr>
        <w:pStyle w:val="style22"/>
        <w:rPr/>
      </w:pPr>
      <w:bookmarkStart w:id="348" w:name="Lbl3018"/>
      <w:bookmarkEnd w:id="348"/>
      <w:r>
        <w:rPr>
          <w:rStyle w:val="style18"/>
        </w:rPr>
        <w:t>18.</w:t>
      </w:r>
      <w:r>
        <w:rPr/>
        <w:t xml:space="preserve"> Окружная избирательная комиссия обращается с представлением о проверке достоверности сведений, представленных кандидатом, выдвинутым избирательным объединением по одномандатному (многомандатному) избирательному округу, в соответствии с </w:t>
      </w:r>
      <w:hyperlink w:anchor="Lbl311">
        <w:r>
          <w:rPr>
            <w:rStyle w:val="style17"/>
          </w:rPr>
          <w:t>частями 11</w:t>
        </w:r>
      </w:hyperlink>
      <w:r>
        <w:rPr/>
        <w:t xml:space="preserve"> и </w:t>
      </w:r>
      <w:hyperlink w:anchor="Lbl312">
        <w:r>
          <w:rPr>
            <w:rStyle w:val="style17"/>
          </w:rPr>
          <w:t>12</w:t>
        </w:r>
      </w:hyperlink>
      <w:r>
        <w:rP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Lbl311">
        <w:r>
          <w:rPr>
            <w:rStyle w:val="style17"/>
          </w:rPr>
          <w:t>частью 11</w:t>
        </w:r>
      </w:hyperlink>
      <w:r>
        <w:rPr/>
        <w:t xml:space="preserve"> настоящей статьи, в течение 10 дней, а сведений, представляемых в соответствии с </w:t>
      </w:r>
      <w:hyperlink w:anchor="Lbl312">
        <w:r>
          <w:rPr>
            <w:rStyle w:val="style17"/>
          </w:rPr>
          <w:t>частью 12</w:t>
        </w:r>
      </w:hyperlink>
      <w:r>
        <w:rPr/>
        <w:t xml:space="preserve"> настоящей статьи, — в течение 20 дней. Если указанное представление поступило за 10 и менее дней до дня голосования, соответствующие органы обязаны сообщить о результатах проверки в срок, установленный окружной избирательной комиссией.</w:t>
      </w:r>
    </w:p>
    <w:p>
      <w:pPr>
        <w:pStyle w:val="style22"/>
        <w:rPr/>
      </w:pPr>
      <w:bookmarkStart w:id="349" w:name="Lbl3019"/>
      <w:bookmarkEnd w:id="349"/>
      <w:r>
        <w:rPr>
          <w:rStyle w:val="style18"/>
        </w:rPr>
        <w:t>19.</w:t>
      </w:r>
      <w:r>
        <w:rPr/>
        <w:t xml:space="preserve"> Соответствующие избирательные комиссии доводят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w:t>
      </w:r>
    </w:p>
    <w:p>
      <w:pPr>
        <w:pStyle w:val="style22"/>
        <w:rPr/>
      </w:pPr>
      <w:bookmarkStart w:id="350" w:name="Lbl3020"/>
      <w:bookmarkEnd w:id="350"/>
      <w:r>
        <w:rPr>
          <w:rStyle w:val="style18"/>
        </w:rPr>
        <w:t>20.</w:t>
      </w:r>
      <w:r>
        <w:rPr/>
        <w:t xml:space="preserve"> Соответствующая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pPr>
        <w:pStyle w:val="style41"/>
        <w:rPr/>
      </w:pPr>
      <w:bookmarkStart w:id="351" w:name="Lbl31"/>
      <w:bookmarkEnd w:id="351"/>
      <w:r>
        <w:rPr/>
        <w:t>Законом Рязанской области от 14 мая 2013 г. № 24-ОЗ статья 31 главы 5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41"/>
        <w:rPr/>
      </w:pPr>
      <w:r>
        <w:rPr/>
        <w:t>См. текст статьи в предыдущей редакции</w:t>
      </w:r>
    </w:p>
    <w:p>
      <w:pPr>
        <w:pStyle w:val="style47"/>
        <w:rPr/>
      </w:pPr>
      <w:r>
        <w:rPr/>
        <w:t>Статья 31</w:t>
      </w:r>
    </w:p>
    <w:p>
      <w:pPr>
        <w:pStyle w:val="style46"/>
        <w:rPr/>
      </w:pPr>
      <w:r>
        <w:rPr>
          <w:rStyle w:val="style18"/>
        </w:rPr>
        <w:t>Статья 31.</w:t>
      </w:r>
      <w:r>
        <w:rPr/>
        <w:t xml:space="preserve"> Поддержка самовыдвижения кандидатов</w:t>
      </w:r>
    </w:p>
    <w:p>
      <w:pPr>
        <w:pStyle w:val="style22"/>
        <w:rPr/>
      </w:pPr>
      <w:r>
        <w:rPr/>
        <w:t>Самовыдвижение кандидата должно быть поддержано избирателями путем внесения ими своих подписей в подписные листы.</w:t>
      </w:r>
    </w:p>
    <w:p>
      <w:pPr>
        <w:pStyle w:val="style41"/>
        <w:rPr/>
      </w:pPr>
      <w:bookmarkStart w:id="352" w:name="Lbl32"/>
      <w:bookmarkEnd w:id="352"/>
      <w:r>
        <w:rPr/>
        <w:t>Законом Рязанской области от 14 мая 2013 г. № 24-ОЗ статья 32 главы 5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41"/>
        <w:rPr/>
      </w:pPr>
      <w:r>
        <w:rPr/>
        <w:t>См. текст статьи в предыдущей редакции</w:t>
      </w:r>
    </w:p>
    <w:p>
      <w:pPr>
        <w:pStyle w:val="style47"/>
        <w:rPr/>
      </w:pPr>
      <w:r>
        <w:rPr/>
        <w:t>Статья 32</w:t>
      </w:r>
    </w:p>
    <w:p>
      <w:pPr>
        <w:pStyle w:val="style46"/>
        <w:rPr/>
      </w:pPr>
      <w:r>
        <w:rPr>
          <w:rStyle w:val="style18"/>
        </w:rPr>
        <w:t>Статья 32.</w:t>
      </w:r>
      <w:r>
        <w:rPr/>
        <w:t xml:space="preserve"> Порядок сбора подписей избирателей в поддержку самовыдвижения кандидатов</w:t>
      </w:r>
    </w:p>
    <w:p>
      <w:pPr>
        <w:pStyle w:val="style22"/>
        <w:rPr/>
      </w:pPr>
      <w:bookmarkStart w:id="353" w:name="Lbl321"/>
      <w:bookmarkEnd w:id="353"/>
      <w:r>
        <w:rPr>
          <w:rStyle w:val="style18"/>
        </w:rPr>
        <w:t>1.</w:t>
      </w:r>
      <w:r>
        <w:rPr/>
        <w:t xml:space="preserve"> Сбор подписей избирателей в поддержку самовыдвижения кандидата начинается со дня, следующего за днем уведомления окружной избирательной комиссии о выдвижении кандидата.</w:t>
      </w:r>
    </w:p>
    <w:p>
      <w:pPr>
        <w:pStyle w:val="style22"/>
        <w:rPr/>
      </w:pPr>
      <w:bookmarkStart w:id="354" w:name="Lbl322"/>
      <w:bookmarkEnd w:id="354"/>
      <w:r>
        <w:rPr>
          <w:rStyle w:val="style18"/>
        </w:rPr>
        <w:t>2.</w:t>
      </w:r>
      <w:r>
        <w:rPr/>
        <w:t xml:space="preserve"> Количество подписей, которое необходимо для регистрации кандидата в одномандатном избирательном округе, составляет 0,5 процента от числа избирателей, зарегистрированных на территории соответствующего одномандатного избирательного округа, но не может быть менее десяти подписей. Количество подписей, которое необходимо для регистрации кандидата в многомандатном избирательном округе, составляет 0,5 процента от числа избирателей, зарегистрированных на территории соответствующего многомандатного избирательного округа, поделенного на число депутатских мандатов, но не может быть менее десяти подписей. Окружная избирательная комиссия обязана проинформировать кандидата об общем числе избирателей в округе, указав это число в письменном подтверждении получения документов о выдвижении кандидата.</w:t>
      </w:r>
    </w:p>
    <w:p>
      <w:pPr>
        <w:pStyle w:val="style22"/>
        <w:rPr/>
      </w:pPr>
      <w:bookmarkStart w:id="355" w:name="Lbl323"/>
      <w:bookmarkEnd w:id="355"/>
      <w:r>
        <w:rPr>
          <w:rStyle w:val="style18"/>
        </w:rPr>
        <w:t>3.</w:t>
      </w:r>
      <w:r>
        <w:rPr/>
        <w:t xml:space="preserve"> Подписные листы изготавливаются за счет средств избирательного фонда кандидата по форме согласно </w:t>
      </w:r>
      <w:hyperlink w:anchor="Lbl1000">
        <w:r>
          <w:rPr>
            <w:rStyle w:val="style17"/>
          </w:rPr>
          <w:t>приложению 1</w:t>
        </w:r>
      </w:hyperlink>
      <w:r>
        <w:rPr/>
        <w:t xml:space="preserve"> к настоящему Закону. В подписном листе указываются название выборов, дата голосования, а также: фамилия, имя, отчество, дата рождения, основное место работы или службы и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наименование субъекта Российской Федерации, район, город, иной населенный пункт, где находится место жительства кандидата, категория (одномандатный или многомандатный с указанием количества мандатов, подлежащих замещению) и номер избирательного округа, в котором он выдвинут. В случае наличия у кандидата неснятой и непогашенной судимости в подписном листе должны указываться сведения о судимости кандидата. Если кандидат в депутаты, сведения о котором содержатся в подписном листе, в заявлении о согласии баллотироваться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В отношении кандидатов, являющихся гражданами иностранных государств, участвующими в выборах депутатов представительного органа муниципального образования в соответствии с </w:t>
      </w:r>
      <w:hyperlink w:anchor="Lbl509">
        <w:r>
          <w:rPr>
            <w:rStyle w:val="style17"/>
          </w:rPr>
          <w:t>частью 9 статьи 5</w:t>
        </w:r>
      </w:hyperlink>
      <w:r>
        <w:rPr/>
        <w:t xml:space="preserve"> настоящего Закона, дополнительно указывается иностранное государство, гражданином которого является кандидат.</w:t>
      </w:r>
    </w:p>
    <w:p>
      <w:pPr>
        <w:pStyle w:val="style22"/>
        <w:rPr/>
      </w:pPr>
      <w:bookmarkStart w:id="356" w:name="Lbl324"/>
      <w:bookmarkEnd w:id="356"/>
      <w:r>
        <w:rPr>
          <w:rStyle w:val="style18"/>
        </w:rPr>
        <w:t>4.</w:t>
      </w:r>
      <w:r>
        <w:rPr/>
        <w:t xml:space="preserve"> Избиратели вправе ставить подпись в поддержку различных кандидатов, но только один раз в поддержку одного и того же кандидата. При этом избиратель собственноручно ставит свою подпись и дату ее внесения в подписном листе, в котором также указываются следующие данные об избирателе: фамилия, имя, отчество, год рождения (в возрасте 18 лет на день голосования — дополнительно число и месяц рождения), серия, номер паспорта или документа, заменяющего паспорт гражданина (относительно иностранных граждан, участвующих в выборах депутатов представительного органа муниципального образования в соответствии с </w:t>
      </w:r>
      <w:hyperlink w:anchor="Lbl509">
        <w:r>
          <w:rPr>
            <w:rStyle w:val="style17"/>
          </w:rPr>
          <w:t>частью 9 статьи 5</w:t>
        </w:r>
      </w:hyperlink>
      <w:r>
        <w:rPr/>
        <w:t xml:space="preserve"> настоящего Закона, — указанный в виде на жительство), а также адрес места жительства, указанный в паспорте или документе, заменяющем паспорт гражданина (для указанных иностранных граждан — документа, удостоверяющего личность и гражданство иностранного гражданина, выданного уполномоченным на то органом соответствующего государства, а также вида на жительство), и включающий в себя наименование субъекта Российской Федерации, района, города, иного населенного пункта, улицы, номера дома и квартиры. Данные об избирателе, ставящем в подписном листе свою подпись и дату ее внесения, могут вноситься в подписной лист по просьбе избирателя лицом, собирающим подписи в поддержку кандидата, списка кандидатов. Указанные данные вносятся только рукописным способом, при этом использование карандашей не допускается.</w:t>
      </w:r>
    </w:p>
    <w:p>
      <w:pPr>
        <w:pStyle w:val="style22"/>
        <w:rPr/>
      </w:pPr>
      <w:bookmarkStart w:id="357" w:name="Lbl325"/>
      <w:bookmarkEnd w:id="357"/>
      <w:r>
        <w:rPr>
          <w:rStyle w:val="style18"/>
        </w:rPr>
        <w:t>5.</w:t>
      </w:r>
      <w:r>
        <w:rPr/>
        <w:t xml:space="preserve">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может заключать с лицом, собирающим подписи избирателей, договор о сборе подписей. Оплата данной работы осуществляется только из средств избирательного фонда кандидата.</w:t>
      </w:r>
    </w:p>
    <w:p>
      <w:pPr>
        <w:pStyle w:val="style22"/>
        <w:rPr/>
      </w:pPr>
      <w:bookmarkStart w:id="358" w:name="Lbl326"/>
      <w:bookmarkEnd w:id="358"/>
      <w:r>
        <w:rPr>
          <w:rStyle w:val="style18"/>
        </w:rPr>
        <w:t>6.</w:t>
      </w:r>
      <w:r>
        <w:rPr/>
        <w:t xml:space="preserve"> Подписи могут собираться только среди избирателей, обладающих активным избирательным правом в том избирательном округе, в котором выдвинут кандидат.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допускаются.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pPr>
        <w:pStyle w:val="style22"/>
        <w:rPr/>
      </w:pPr>
      <w:r>
        <w:rPr/>
        <w:t>Подписи, собранные с нарушением положений настоящей части, являются недействительными.</w:t>
      </w:r>
    </w:p>
    <w:p>
      <w:pPr>
        <w:pStyle w:val="style22"/>
        <w:rPr/>
      </w:pPr>
      <w:bookmarkStart w:id="359" w:name="Lbl327"/>
      <w:bookmarkEnd w:id="359"/>
      <w:r>
        <w:rPr>
          <w:rStyle w:val="style18"/>
        </w:rPr>
        <w:t>7.</w:t>
      </w:r>
      <w:r>
        <w:rPr/>
        <w:t xml:space="preserve"> При сборе подписей избирателей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подписи ставятся на оборотной стороне подписного листа.</w:t>
      </w:r>
    </w:p>
    <w:p>
      <w:pPr>
        <w:pStyle w:val="style22"/>
        <w:rPr/>
      </w:pPr>
      <w:bookmarkStart w:id="360" w:name="Lbl328"/>
      <w:bookmarkEnd w:id="360"/>
      <w:r>
        <w:rPr>
          <w:rStyle w:val="style18"/>
        </w:rPr>
        <w:t>8.</w:t>
      </w:r>
      <w:r>
        <w:rPr/>
        <w:t xml:space="preserve"> Каждый подписной лист заверяется лицом, осуществлявшим сбор подписей избирателей, которое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Каждый подписной лист заверяется также кандидатом, который напротив своих фамилии, имени и отчества собственноручно ставит свою подпись и дату ее внесения. Указанная удостоверительная надпись может не вноситься, если кандидат сам собирал подписи и удостоверил подписной лист в качестве лица, собиравшего подписи.</w:t>
      </w:r>
    </w:p>
    <w:p>
      <w:pPr>
        <w:pStyle w:val="style22"/>
        <w:rPr/>
      </w:pPr>
      <w:bookmarkStart w:id="361" w:name="Lbl329"/>
      <w:bookmarkEnd w:id="361"/>
      <w:r>
        <w:rPr>
          <w:rStyle w:val="style18"/>
        </w:rPr>
        <w:t>9.</w:t>
      </w:r>
      <w:r>
        <w:rPr/>
        <w:t xml:space="preserve"> Кандидат подсчитывает количество подписей избирателей, собранных в поддержку кандидата, выдвинутого по одномандатному (многомандатному) избирательному округу, количество подписных листов и по результатам подсчета составляет и подписывает протокол об итогах сбора подписей избирателей.</w:t>
      </w:r>
    </w:p>
    <w:p>
      <w:pPr>
        <w:pStyle w:val="style22"/>
        <w:rPr/>
      </w:pPr>
      <w:bookmarkStart w:id="362" w:name="Lbl3210"/>
      <w:bookmarkEnd w:id="362"/>
      <w:r>
        <w:rPr>
          <w:rStyle w:val="style18"/>
        </w:rPr>
        <w:t>10.</w:t>
      </w:r>
      <w:r>
        <w:rPr/>
        <w:t xml:space="preserve"> Количество представляемых для регистрации кандидата подписей избирателей может превышать количество подписей, установленное настоящим Законом,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не более чем на четыре подписи.</w:t>
      </w:r>
    </w:p>
    <w:p>
      <w:pPr>
        <w:pStyle w:val="style22"/>
        <w:rPr/>
      </w:pPr>
      <w:bookmarkStart w:id="363" w:name="Lbl3211"/>
      <w:bookmarkEnd w:id="363"/>
      <w:r>
        <w:rPr>
          <w:rStyle w:val="style18"/>
        </w:rPr>
        <w:t>11.</w:t>
      </w:r>
      <w:r>
        <w:rPr/>
        <w:t xml:space="preserve"> Подписные листы должны быть сброшюрованы в виде папок, иметь сквозную нумерацию листов в пределах папки и подписей избирателей в пределах подписного листа.</w:t>
      </w:r>
    </w:p>
    <w:p>
      <w:pPr>
        <w:pStyle w:val="style41"/>
        <w:rPr/>
      </w:pPr>
      <w:bookmarkStart w:id="364" w:name="Lbl33"/>
      <w:bookmarkEnd w:id="364"/>
      <w:r>
        <w:rPr/>
        <w:t>Законом Рязанской области от 14 мая 2013 г. № 24-ОЗ статья 33 главы 5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41"/>
        <w:rPr/>
      </w:pPr>
      <w:r>
        <w:rPr/>
        <w:t>См. текст статьи в предыдущей редакции</w:t>
      </w:r>
    </w:p>
    <w:p>
      <w:pPr>
        <w:pStyle w:val="style47"/>
        <w:rPr/>
      </w:pPr>
      <w:r>
        <w:rPr/>
        <w:t>Статья 33</w:t>
      </w:r>
    </w:p>
    <w:p>
      <w:pPr>
        <w:pStyle w:val="style46"/>
        <w:rPr/>
      </w:pPr>
      <w:r>
        <w:rPr>
          <w:rStyle w:val="style18"/>
        </w:rPr>
        <w:t>Статья 33.</w:t>
      </w:r>
      <w:r>
        <w:rPr/>
        <w:t xml:space="preserve"> Представление избирательных документов для регистрации кандидатов, муниципальных списков кандидатов</w:t>
      </w:r>
    </w:p>
    <w:p>
      <w:pPr>
        <w:pStyle w:val="style22"/>
        <w:rPr/>
      </w:pPr>
      <w:bookmarkStart w:id="365" w:name="Lbl331"/>
      <w:bookmarkEnd w:id="365"/>
      <w:r>
        <w:rPr>
          <w:rStyle w:val="style18"/>
        </w:rPr>
        <w:t>1.</w:t>
      </w:r>
      <w:r>
        <w:rPr/>
        <w:t xml:space="preserve"> Для регистрации кандидата, выдвинутого по одномандатному (многомандатному) избирательному округу, кандидат либо уполномоченный представитель избирательного объединения не позднее чем за 45 дней до дня голосования до 18 часов по местному времени представляет в соответствующую окружную избирательную комиссию:</w:t>
      </w:r>
    </w:p>
    <w:p>
      <w:pPr>
        <w:pStyle w:val="style22"/>
        <w:rPr/>
      </w:pPr>
      <w:bookmarkStart w:id="366" w:name="Lbl3311"/>
      <w:bookmarkEnd w:id="366"/>
      <w:r>
        <w:rPr>
          <w:rStyle w:val="style18"/>
        </w:rPr>
        <w:t>1)</w:t>
      </w:r>
      <w:r>
        <w:rPr/>
        <w:t xml:space="preserve"> подписные листы с подписями избирателей, собранными в поддержку выдвижения кандидата, и протокол об итогах сбора подписей избирателей в двух экземплярах на бумажном носителе и в машиночитаемом виде по форме, установленной избирательной комиссией муниципального образования (если в поддержку выдвижения кандидата проводился сбор подписей избирателей), а также список лиц, осуществлявших сбор подписей с указанием сведений о каждом лице, осуществлявшем сбор подписей избирателей: фамилия, имя и отчество, дата рождения, адрес места жительства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указанном списке удостоверяются нотариально;</w:t>
      </w:r>
    </w:p>
    <w:p>
      <w:pPr>
        <w:pStyle w:val="style22"/>
        <w:rPr/>
      </w:pPr>
      <w:bookmarkStart w:id="367" w:name="Lbl3312"/>
      <w:bookmarkEnd w:id="367"/>
      <w:r>
        <w:rPr>
          <w:rStyle w:val="style18"/>
        </w:rPr>
        <w:t>2)</w:t>
      </w:r>
      <w:r>
        <w:rPr/>
        <w:t xml:space="preserve"> копия документа, подтверждающего факт оплаты изготовления подписных листов, которая изготавливается в окружной избирательной комиссии в присутствии лица, представившего документ, заверяется подписью лица, принявшего документы, указанные в настоящей части, и прилагается к этим документам;</w:t>
      </w:r>
    </w:p>
    <w:p>
      <w:pPr>
        <w:pStyle w:val="style22"/>
        <w:rPr/>
      </w:pPr>
      <w:bookmarkStart w:id="368" w:name="Lbl3313"/>
      <w:bookmarkEnd w:id="368"/>
      <w:r>
        <w:rPr>
          <w:rStyle w:val="style18"/>
        </w:rPr>
        <w:t>3)</w:t>
      </w:r>
      <w:r>
        <w:rPr/>
        <w:t xml:space="preserve"> сведения об изменениях в сведениях о кандидате, ранее представленных в соответствии с </w:t>
      </w:r>
      <w:hyperlink w:anchor="Lbl271">
        <w:r>
          <w:rPr>
            <w:rStyle w:val="style17"/>
          </w:rPr>
          <w:t>частями 1</w:t>
        </w:r>
      </w:hyperlink>
      <w:r>
        <w:rPr/>
        <w:t xml:space="preserve"> и </w:t>
      </w:r>
      <w:hyperlink w:anchor="Lbl273">
        <w:r>
          <w:rPr>
            <w:rStyle w:val="style17"/>
          </w:rPr>
          <w:t>3 статьи 27</w:t>
        </w:r>
      </w:hyperlink>
      <w:r>
        <w:rPr/>
        <w:t xml:space="preserve"> либо </w:t>
      </w:r>
      <w:hyperlink w:anchor="Lbl3013">
        <w:r>
          <w:rPr>
            <w:rStyle w:val="style17"/>
          </w:rPr>
          <w:t>частью 3 статьи 30</w:t>
        </w:r>
      </w:hyperlink>
      <w:r>
        <w:rPr/>
        <w:t xml:space="preserve"> настоящего Закона, либо об отсутствии изменений в указанных сведениях;</w:t>
      </w:r>
    </w:p>
    <w:p>
      <w:pPr>
        <w:pStyle w:val="style22"/>
        <w:rPr/>
      </w:pPr>
      <w:bookmarkStart w:id="369" w:name="Lbl3314"/>
      <w:bookmarkEnd w:id="369"/>
      <w:r>
        <w:rPr>
          <w:rStyle w:val="style18"/>
        </w:rPr>
        <w:t>4)</w:t>
      </w:r>
      <w:r>
        <w:rPr/>
        <w:t xml:space="preserve"> уведомление о реквизитах специального избирательного счета кандидата и иные документы, предусмотренные законом.</w:t>
      </w:r>
    </w:p>
    <w:p>
      <w:pPr>
        <w:pStyle w:val="style22"/>
        <w:rPr/>
      </w:pPr>
      <w:bookmarkStart w:id="370" w:name="Lbl332"/>
      <w:bookmarkEnd w:id="370"/>
      <w:r>
        <w:rPr>
          <w:rStyle w:val="style18"/>
        </w:rPr>
        <w:t>2.</w:t>
      </w:r>
      <w:r>
        <w:rPr/>
        <w:t xml:space="preserve"> Для регистрации муниципального списка кандидатов по единому избирательному округу уполномоченный представитель избирательного объединения не позднее чем за 45 дней до дня голосования до 18 часов по местному времени представляет в избирательную комиссию муниципального образования:</w:t>
      </w:r>
    </w:p>
    <w:p>
      <w:pPr>
        <w:pStyle w:val="style22"/>
        <w:rPr/>
      </w:pPr>
      <w:bookmarkStart w:id="371" w:name="Lbl3321"/>
      <w:bookmarkEnd w:id="371"/>
      <w:r>
        <w:rPr>
          <w:rStyle w:val="style18"/>
        </w:rPr>
        <w:t>1)</w:t>
      </w:r>
      <w:r>
        <w:rPr/>
        <w:t xml:space="preserve"> сведения об изменениях в списке кандидатов, произошедших после его заверения, и об изменениях в сведениях о каждом кандидате из списка кандидатов, ранее представленных в соответствии с </w:t>
      </w:r>
      <w:hyperlink w:anchor="Lbl3011">
        <w:r>
          <w:rPr>
            <w:rStyle w:val="style17"/>
          </w:rPr>
          <w:t>частями 1 — 3 статьи 30</w:t>
        </w:r>
      </w:hyperlink>
      <w:r>
        <w:rPr/>
        <w:t xml:space="preserve"> настоящего Закона либо об отсутствии изменений в указанных сведениях;</w:t>
      </w:r>
    </w:p>
    <w:p>
      <w:pPr>
        <w:pStyle w:val="style22"/>
        <w:rPr/>
      </w:pPr>
      <w:bookmarkStart w:id="372" w:name="Lbl3322"/>
      <w:bookmarkEnd w:id="372"/>
      <w:r>
        <w:rPr>
          <w:rStyle w:val="style18"/>
        </w:rPr>
        <w:t>2)</w:t>
      </w:r>
      <w:r>
        <w:rPr/>
        <w:t xml:space="preserve"> уведомление о реквизитах специального избирательного счета избирательного объединения и иные документы, предусмотренные законом.</w:t>
      </w:r>
    </w:p>
    <w:p>
      <w:pPr>
        <w:pStyle w:val="style22"/>
        <w:rPr/>
      </w:pPr>
      <w:bookmarkStart w:id="373" w:name="Lbl333"/>
      <w:bookmarkEnd w:id="373"/>
      <w:r>
        <w:rPr>
          <w:rStyle w:val="style18"/>
        </w:rPr>
        <w:t>3.</w:t>
      </w:r>
      <w:r>
        <w:rPr/>
        <w:t xml:space="preserve"> При приеме документов для регистрации кандидата, списка кандидатов соответствующая избирательная комиссия выдает кандидату, уполномоченному представителю избирательного объединения документ, который подтверждает прием представленных документов и в котором указываются дата и время приема. В случае представления подписных листов в этом документе указывается также количество принятых подписных листов и заявленное количество подписей избирателей. При этом соответствующая избирательная комиссия предварительно заверяет каждую папку с подписными листами своей печатью, проверяет соответствие количества представленных подписных листов количеству подписных листов, указанному в протоколе об итогах сбора подписей избирателей. Соответствующая 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указанным лицам в приеме представляемых для регистрации кандидата, списка кандидатов документов, если документы доставлены до истечения времени, указанного в </w:t>
      </w:r>
      <w:hyperlink w:anchor="Lbl331">
        <w:r>
          <w:rPr>
            <w:rStyle w:val="style17"/>
          </w:rPr>
          <w:t>частях 1</w:t>
        </w:r>
      </w:hyperlink>
      <w:r>
        <w:rPr/>
        <w:t xml:space="preserve"> и </w:t>
      </w:r>
      <w:hyperlink w:anchor="Lbl332">
        <w:r>
          <w:rPr>
            <w:rStyle w:val="style17"/>
          </w:rPr>
          <w:t>2</w:t>
        </w:r>
      </w:hyperlink>
      <w:r>
        <w:rPr/>
        <w:t xml:space="preserve"> настоящей статьи.</w:t>
      </w:r>
    </w:p>
    <w:p>
      <w:pPr>
        <w:pStyle w:val="style47"/>
        <w:rPr/>
      </w:pPr>
      <w:bookmarkStart w:id="374" w:name="Lbl34"/>
      <w:bookmarkEnd w:id="374"/>
      <w:r>
        <w:rPr/>
        <w:t>Статья 34</w:t>
      </w:r>
    </w:p>
    <w:p>
      <w:pPr>
        <w:pStyle w:val="style46"/>
        <w:rPr/>
      </w:pPr>
      <w:r>
        <w:rPr>
          <w:rStyle w:val="style18"/>
        </w:rPr>
        <w:t>Статья 34.</w:t>
      </w:r>
      <w:r>
        <w:rPr/>
        <w:t xml:space="preserve"> 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p>
    <w:p>
      <w:pPr>
        <w:pStyle w:val="style22"/>
        <w:rPr/>
      </w:pPr>
      <w:bookmarkStart w:id="375" w:name="Lbl341"/>
      <w:bookmarkEnd w:id="375"/>
      <w:r>
        <w:rPr>
          <w:rStyle w:val="style18"/>
        </w:rPr>
        <w:t>1.</w:t>
      </w:r>
      <w:r>
        <w:rPr/>
        <w:t xml:space="preserve"> Соответствующая избирательная комиссия проверяет соблюдение порядка выдвижения кандидата, списка кандидатов требованиям настоящего Закона.</w:t>
      </w:r>
    </w:p>
    <w:p>
      <w:pPr>
        <w:pStyle w:val="style41"/>
        <w:rPr/>
      </w:pPr>
      <w:bookmarkStart w:id="376" w:name="Lbl342"/>
      <w:bookmarkEnd w:id="376"/>
      <w:r>
        <w:rPr/>
        <w:t>Законом Рязанской области от 14 мая 2013 г. № 24-ОЗ в часть 2 статьи 34 главы 5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2.</w:t>
      </w:r>
      <w:r>
        <w:rPr/>
        <w:t xml:space="preserve"> Если кандидатом представлены подписные листы с подписями избирателей, собранными в поддержку кандидата, соответствующая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Для проведения указанной проверки соответствующая избирательная комиссия вправе образовать рабочую группу в составе членов избирательной комиссии с правом решающего голоса и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Для установления достоверности данных, содержащихся в подписных листах, избирательные комиссии вправе использовать ГАС «Выборы», включая регистр избирателей, участников референдума.</w:t>
      </w:r>
    </w:p>
    <w:p>
      <w:pPr>
        <w:pStyle w:val="style41"/>
        <w:rPr/>
      </w:pPr>
      <w:bookmarkStart w:id="377" w:name="Lbl343"/>
      <w:bookmarkEnd w:id="377"/>
      <w:r>
        <w:rPr/>
        <w:t>Законом Рязанской области от 14 мая 2013 г. № 24-ОЗ часть 3 статьи 34 главы 5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3.</w:t>
      </w:r>
      <w:r>
        <w:rPr/>
        <w:t xml:space="preserve"> Проверке могут подлежать все представленные подписи или их часть, но не менее 20 процентов от необходимого для регистрации кандидата количества подписей, отобранных в этом случае посредством случайной выборки (жребия). Количество отобранных посредством случайной выборки (жребия) для проверки подписей избирателей для всех кандидатов должно быть равным. Количество подписей, подлежащих проверке, процедура проведения случайной выборки для проведения проверки подписей, порядок проведения проверки подписей определяются соответствующей избирательной комиссией. О времени проведения выборки для проведения проверки подписей, проверки подписей должны извещаться кандидаты, представившие установленное количество подписей. При проведении выборки для проведения проверки подписей, проверки подписей вправе присутствовать кандидаты, представившие необходимое для регистрации количество подписей избирателей, их доверенные лица или уполномоченные представители по финансовым вопросам.</w:t>
      </w:r>
    </w:p>
    <w:p>
      <w:pPr>
        <w:pStyle w:val="style22"/>
        <w:rPr/>
      </w:pPr>
      <w:bookmarkStart w:id="378" w:name="Lbl344"/>
      <w:bookmarkEnd w:id="378"/>
      <w:r>
        <w:rPr>
          <w:rStyle w:val="style18"/>
        </w:rPr>
        <w:t>4.</w:t>
      </w:r>
      <w:r>
        <w:rPr/>
        <w:t xml:space="preserve"> По результатам проверки подписных листов подпись избирателя может быть признана достоверной либо недостоверной и (или) недействительной.</w:t>
      </w:r>
    </w:p>
    <w:p>
      <w:pPr>
        <w:pStyle w:val="style22"/>
        <w:rPr/>
      </w:pPr>
      <w:bookmarkStart w:id="379" w:name="Lbl345"/>
      <w:bookmarkEnd w:id="379"/>
      <w:r>
        <w:rPr>
          <w:rStyle w:val="style18"/>
        </w:rPr>
        <w:t>5.</w:t>
      </w:r>
      <w:r>
        <w:rPr/>
        <w:t xml:space="preserve">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если это специально оговорено ими в подписных листах или в протоколе об итогах сбора подписей избирателей до представления подписных листов в соответствующую избирательную комиссию.</w:t>
      </w:r>
    </w:p>
    <w:p>
      <w:pPr>
        <w:pStyle w:val="style22"/>
        <w:rPr/>
      </w:pPr>
      <w:bookmarkStart w:id="380" w:name="Lbl346"/>
      <w:bookmarkEnd w:id="380"/>
      <w:r>
        <w:rPr>
          <w:rStyle w:val="style18"/>
        </w:rPr>
        <w:t>6.</w:t>
      </w:r>
      <w:r>
        <w:rPr/>
        <w:t xml:space="preserve"> Если при проверке подписных листов обнаруживается несколько подписей одного и того же лица в поддержку выдвижения одного и того же кандидата, списка кандидатов, действительной считается только одна подпись, а остальные подписи считаются недействительными.</w:t>
      </w:r>
    </w:p>
    <w:p>
      <w:pPr>
        <w:pStyle w:val="style22"/>
        <w:rPr/>
      </w:pPr>
      <w:bookmarkStart w:id="381" w:name="Lbl347"/>
      <w:bookmarkEnd w:id="381"/>
      <w:r>
        <w:rPr>
          <w:rStyle w:val="style18"/>
        </w:rPr>
        <w:t>7.</w:t>
      </w:r>
      <w:r>
        <w:rPr/>
        <w:t xml:space="preserve"> Недостоверной считается подпись, выполненная от имени одного лица другим лицом. Подпись, выполненная указанным образом, признается недостоверной на основании письменного заключения эксперта, привлеченного к проверке в соответствии с </w:t>
      </w:r>
      <w:hyperlink w:anchor="Lbl342">
        <w:r>
          <w:rPr>
            <w:rStyle w:val="style17"/>
          </w:rPr>
          <w:t>частью 2</w:t>
        </w:r>
      </w:hyperlink>
      <w:r>
        <w:rPr/>
        <w:t xml:space="preserve"> настоящей статьи.</w:t>
      </w:r>
    </w:p>
    <w:p>
      <w:pPr>
        <w:pStyle w:val="style22"/>
        <w:rPr/>
      </w:pPr>
      <w:bookmarkStart w:id="382" w:name="Lbl348"/>
      <w:bookmarkEnd w:id="382"/>
      <w:r>
        <w:rPr>
          <w:rStyle w:val="style18"/>
        </w:rPr>
        <w:t>8.</w:t>
      </w:r>
      <w:r>
        <w:rPr/>
        <w:t xml:space="preserve"> Недействительными признаются:</w:t>
      </w:r>
    </w:p>
    <w:p>
      <w:pPr>
        <w:pStyle w:val="style41"/>
        <w:rPr/>
      </w:pPr>
      <w:bookmarkStart w:id="383" w:name="Lbl3481"/>
      <w:bookmarkEnd w:id="383"/>
      <w:r>
        <w:rPr/>
        <w:t>Законом Рязанской области от 14 мая 2013 г. № 24-ОЗ в пункт 1 части 8 статьи 34 главы 5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пункта в предыдущей редакции</w:t>
      </w:r>
    </w:p>
    <w:p>
      <w:pPr>
        <w:pStyle w:val="style22"/>
        <w:rPr/>
      </w:pPr>
      <w:r>
        <w:rPr>
          <w:rStyle w:val="style18"/>
        </w:rPr>
        <w:t>1)</w:t>
      </w:r>
      <w:r>
        <w:rPr/>
        <w:t xml:space="preserve"> подписи избирателей, собранные до дня, следующего за днем уведомления соответствующей избирательной комиссии о выдвижении кандидата;</w:t>
      </w:r>
    </w:p>
    <w:p>
      <w:pPr>
        <w:pStyle w:val="style22"/>
        <w:rPr/>
      </w:pPr>
      <w:bookmarkStart w:id="384" w:name="Lbl3482"/>
      <w:bookmarkEnd w:id="384"/>
      <w:r>
        <w:rPr>
          <w:rStyle w:val="style18"/>
        </w:rPr>
        <w:t>2)</w:t>
      </w:r>
      <w:r>
        <w:rPr/>
        <w:t xml:space="preserve"> подписи лиц, не обладающих активным избирательным правом;</w:t>
      </w:r>
    </w:p>
    <w:p>
      <w:pPr>
        <w:pStyle w:val="style22"/>
        <w:rPr/>
      </w:pPr>
      <w:bookmarkStart w:id="385" w:name="Lbl3483"/>
      <w:bookmarkEnd w:id="385"/>
      <w:r>
        <w:rPr>
          <w:rStyle w:val="style18"/>
        </w:rPr>
        <w:t>3)</w:t>
      </w:r>
      <w:r>
        <w:rPr/>
        <w:t xml:space="preserve"> подписи избирателей,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работе по проверке подписей избирателей, в соответствии с </w:t>
      </w:r>
      <w:hyperlink w:anchor="Lbl3482">
        <w:r>
          <w:rPr>
            <w:rStyle w:val="style17"/>
          </w:rPr>
          <w:t>частью 2</w:t>
        </w:r>
      </w:hyperlink>
      <w:r>
        <w:rPr/>
        <w:t xml:space="preserve"> настоящей статьи;</w:t>
      </w:r>
    </w:p>
    <w:p>
      <w:pPr>
        <w:pStyle w:val="style22"/>
        <w:rPr/>
      </w:pPr>
      <w:bookmarkStart w:id="386" w:name="Lbl3484"/>
      <w:bookmarkEnd w:id="386"/>
      <w:r>
        <w:rPr>
          <w:rStyle w:val="style18"/>
        </w:rPr>
        <w:t>4)</w:t>
      </w:r>
      <w:r>
        <w:rPr/>
        <w:t xml:space="preserve"> подписи избирателей без указания каких-либо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pPr>
        <w:pStyle w:val="style22"/>
        <w:rPr/>
      </w:pPr>
      <w:bookmarkStart w:id="387" w:name="Lbl3485"/>
      <w:bookmarkEnd w:id="387"/>
      <w:r>
        <w:rPr>
          <w:rStyle w:val="style18"/>
        </w:rPr>
        <w:t>5)</w:t>
      </w:r>
      <w:r>
        <w:rPr/>
        <w:t xml:space="preserve"> подписи избирателей, сведения о которых внесены в подписной лист нерукописным способом или карандашом;</w:t>
      </w:r>
    </w:p>
    <w:p>
      <w:pPr>
        <w:pStyle w:val="style22"/>
        <w:rPr/>
      </w:pPr>
      <w:bookmarkStart w:id="388" w:name="Lbl3486"/>
      <w:bookmarkEnd w:id="388"/>
      <w:r>
        <w:rPr>
          <w:rStyle w:val="style18"/>
        </w:rPr>
        <w:t>6)</w:t>
      </w:r>
      <w:r>
        <w:rPr/>
        <w:t xml:space="preserve">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работе по проверке подписей избирателей, в соответствии с </w:t>
      </w:r>
      <w:hyperlink w:anchor="Lbl3482">
        <w:r>
          <w:rPr>
            <w:rStyle w:val="style17"/>
          </w:rPr>
          <w:t>частью 2</w:t>
        </w:r>
      </w:hyperlink>
      <w:r>
        <w:rPr/>
        <w:t xml:space="preserve"> настоящей статьи;</w:t>
      </w:r>
    </w:p>
    <w:p>
      <w:pPr>
        <w:pStyle w:val="style22"/>
        <w:rPr/>
      </w:pPr>
      <w:bookmarkStart w:id="389" w:name="Lbl3487"/>
      <w:bookmarkEnd w:id="389"/>
      <w:r>
        <w:rPr>
          <w:rStyle w:val="style18"/>
        </w:rPr>
        <w:t>7)</w:t>
      </w:r>
      <w:r>
        <w:rPr/>
        <w:t xml:space="preserve"> подписи избирателей с исправлениями в соответствующих им сведениях об избирателях, если эти исправления специально не оговорены избирателями или лицами, осуществляющими сбор подписей избирателей;</w:t>
      </w:r>
    </w:p>
    <w:p>
      <w:pPr>
        <w:pStyle w:val="style41"/>
        <w:rPr/>
      </w:pPr>
      <w:bookmarkStart w:id="390" w:name="Lbl3488"/>
      <w:bookmarkEnd w:id="390"/>
      <w:r>
        <w:rPr/>
        <w:t>Законом Рязанской области от 14 мая 2013 г. № 24-ОЗ пункт 8 части 8 статьи 34 главы 5 настоящего Закона изложен в новой редакции, вступающей в силу через десять дней после дня официального опубликования названного Закона</w:t>
      </w:r>
    </w:p>
    <w:p>
      <w:pPr>
        <w:pStyle w:val="style41"/>
        <w:rPr/>
      </w:pPr>
      <w:r>
        <w:rPr/>
        <w:t>См. текст пункта в предыдущей редакции</w:t>
      </w:r>
    </w:p>
    <w:p>
      <w:pPr>
        <w:pStyle w:val="style22"/>
        <w:rPr/>
      </w:pPr>
      <w:r>
        <w:rPr>
          <w:rStyle w:val="style18"/>
        </w:rPr>
        <w:t>8)</w:t>
      </w:r>
      <w:r>
        <w:rPr/>
        <w:t xml:space="preserve">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и (или)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и (или)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w:t>
      </w:r>
    </w:p>
    <w:p>
      <w:pPr>
        <w:pStyle w:val="style41"/>
        <w:rPr/>
      </w:pPr>
      <w:bookmarkStart w:id="391" w:name="Lbl3489"/>
      <w:bookmarkEnd w:id="391"/>
      <w:r>
        <w:rPr/>
        <w:t>Законом Рязанской области от 14 мая 2013 г. № 24-ОЗ в пункт 9 части 8 статьи 34 главы 5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пункта в предыдущей редакции</w:t>
      </w:r>
    </w:p>
    <w:p>
      <w:pPr>
        <w:pStyle w:val="style22"/>
        <w:rPr/>
      </w:pPr>
      <w:r>
        <w:rPr>
          <w:rStyle w:val="style18"/>
        </w:rPr>
        <w:t>9)</w:t>
      </w:r>
      <w:r>
        <w:rPr/>
        <w:t xml:space="preserve"> все подписи избирателей в подписном листе, форма которого не соответствует требованиям </w:t>
      </w:r>
      <w:hyperlink w:anchor="Lbl1000">
        <w:r>
          <w:rPr>
            <w:rStyle w:val="style17"/>
          </w:rPr>
          <w:t>приложения 1</w:t>
        </w:r>
      </w:hyperlink>
      <w:r>
        <w:rPr/>
        <w:t xml:space="preserve"> к настоящему Закону, и (или) в который не внесены сведения, предусмотренные </w:t>
      </w:r>
      <w:hyperlink w:anchor="Lbl323">
        <w:r>
          <w:rPr>
            <w:rStyle w:val="style17"/>
          </w:rPr>
          <w:t>частью 3 статьи 32</w:t>
        </w:r>
      </w:hyperlink>
      <w:r>
        <w:rPr/>
        <w:t xml:space="preserve"> настоящего Закона, и (или) который изготовлен не за счет средств избирательного фонда кандидата, избирательного объединения;</w:t>
      </w:r>
    </w:p>
    <w:p>
      <w:pPr>
        <w:pStyle w:val="style41"/>
        <w:rPr/>
      </w:pPr>
      <w:bookmarkStart w:id="392" w:name="Lbl34810"/>
      <w:bookmarkEnd w:id="392"/>
      <w:r>
        <w:rPr/>
        <w:t>Законом Рязанской области от 14 мая 2013 г. № 24-ОЗ в пункт 10 части 8 статьи 34 главы 5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пункта в предыдущей редакции</w:t>
      </w:r>
    </w:p>
    <w:p>
      <w:pPr>
        <w:pStyle w:val="style22"/>
        <w:rPr/>
      </w:pPr>
      <w:r>
        <w:rPr>
          <w:rStyle w:val="style18"/>
        </w:rPr>
        <w:t>10)</w:t>
      </w:r>
      <w:r>
        <w:rPr/>
        <w:t xml:space="preserve"> подписи избирателей, собранные с нарушением требований, предусмотренных </w:t>
      </w:r>
      <w:hyperlink w:anchor="Lbl325">
        <w:r>
          <w:rPr>
            <w:rStyle w:val="style17"/>
          </w:rPr>
          <w:t>частями 5</w:t>
        </w:r>
      </w:hyperlink>
      <w:r>
        <w:rPr/>
        <w:t xml:space="preserve"> и </w:t>
      </w:r>
      <w:hyperlink w:anchor="Lbl326">
        <w:r>
          <w:rPr>
            <w:rStyle w:val="style17"/>
          </w:rPr>
          <w:t>6 статьи 32</w:t>
        </w:r>
      </w:hyperlink>
      <w:r>
        <w:rPr/>
        <w:t xml:space="preserve"> настоящего Закона;</w:t>
      </w:r>
    </w:p>
    <w:p>
      <w:pPr>
        <w:pStyle w:val="style22"/>
        <w:rPr/>
      </w:pPr>
      <w:bookmarkStart w:id="393" w:name="Lbl34811"/>
      <w:bookmarkEnd w:id="393"/>
      <w:r>
        <w:rPr>
          <w:rStyle w:val="style18"/>
        </w:rPr>
        <w:t>11)</w:t>
      </w:r>
      <w:r>
        <w:rPr/>
        <w:t xml:space="preserve">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работе по проверке подписей избирателей в соответствии с </w:t>
      </w:r>
      <w:hyperlink w:anchor="Lbl3482">
        <w:r>
          <w:rPr>
            <w:rStyle w:val="style17"/>
          </w:rPr>
          <w:t>частью 2</w:t>
        </w:r>
      </w:hyperlink>
      <w:r>
        <w:rPr/>
        <w:t xml:space="preserve"> настоящей статьи;</w:t>
      </w:r>
    </w:p>
    <w:p>
      <w:pPr>
        <w:pStyle w:val="style22"/>
        <w:rPr/>
      </w:pPr>
      <w:bookmarkStart w:id="394" w:name="Lbl34812"/>
      <w:bookmarkEnd w:id="394"/>
      <w:r>
        <w:rPr>
          <w:rStyle w:val="style18"/>
        </w:rPr>
        <w:t>12)</w:t>
      </w:r>
      <w:r>
        <w:rPr/>
        <w:t xml:space="preserve"> все подписи избирателей в подписном листе, который заверен осуществлявшим сбор подписей лицом, не внесенным в список лиц, осуществлявших сбор подписей;</w:t>
      </w:r>
    </w:p>
    <w:p>
      <w:pPr>
        <w:pStyle w:val="style41"/>
        <w:rPr/>
      </w:pPr>
      <w:bookmarkStart w:id="395" w:name="Lbl34813"/>
      <w:bookmarkEnd w:id="395"/>
      <w:r>
        <w:rPr/>
        <w:t>Законом Рязанской области от 14 мая 2013 г. № 24-ОЗ в пункт 13 части 8 статьи 34 главы 5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пункта в предыдущей редакции</w:t>
      </w:r>
    </w:p>
    <w:p>
      <w:pPr>
        <w:pStyle w:val="style22"/>
        <w:rPr/>
      </w:pPr>
      <w:r>
        <w:rPr>
          <w:rStyle w:val="style18"/>
        </w:rPr>
        <w:t>13)</w:t>
      </w:r>
      <w:r>
        <w:rPr/>
        <w:t xml:space="preserve">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pPr>
        <w:pStyle w:val="style41"/>
        <w:rPr/>
      </w:pPr>
      <w:bookmarkStart w:id="396" w:name="Lbl34814"/>
      <w:bookmarkEnd w:id="396"/>
      <w:r>
        <w:rPr/>
        <w:t>Законом Рязанской области от 14 мая 2013 г. № 24-ОЗ в пункт 14 части 8 статьи 34 главы 5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пункта в предыдущей редакции</w:t>
      </w:r>
    </w:p>
    <w:p>
      <w:pPr>
        <w:pStyle w:val="style22"/>
        <w:rPr/>
      </w:pPr>
      <w:r>
        <w:rPr>
          <w:rStyle w:val="style18"/>
        </w:rPr>
        <w:t>14)</w:t>
      </w:r>
      <w:r>
        <w:rPr/>
        <w:t xml:space="preserve">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w:t>
      </w:r>
    </w:p>
    <w:p>
      <w:pPr>
        <w:pStyle w:val="style41"/>
        <w:rPr/>
      </w:pPr>
      <w:bookmarkStart w:id="397" w:name="Lbl349"/>
      <w:bookmarkEnd w:id="397"/>
      <w:r>
        <w:rPr/>
        <w:t>Законом Рязанской области от 9 декабря 2011 г. № 117-ОЗ часть 9 статьи 34 главы 5 настоящего Закона изложена в новой редакции</w:t>
      </w:r>
    </w:p>
    <w:p>
      <w:pPr>
        <w:pStyle w:val="style41"/>
        <w:rPr/>
      </w:pPr>
      <w:r>
        <w:rPr/>
        <w:t>См. текст части в предыдущей редакции</w:t>
      </w:r>
    </w:p>
    <w:p>
      <w:pPr>
        <w:pStyle w:val="style22"/>
        <w:rPr/>
      </w:pPr>
      <w:r>
        <w:rPr>
          <w:rStyle w:val="style18"/>
        </w:rPr>
        <w:t>9.</w:t>
      </w:r>
      <w:r>
        <w:rPr/>
        <w:t xml:space="preserve">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Lbl3488">
        <w:r>
          <w:rPr>
            <w:rStyle w:val="style17"/>
          </w:rPr>
          <w:t>пунктами 8</w:t>
        </w:r>
      </w:hyperlink>
      <w:r>
        <w:rPr/>
        <w:t xml:space="preserve">, </w:t>
      </w:r>
      <w:hyperlink w:anchor="Lbl3489">
        <w:r>
          <w:rPr>
            <w:rStyle w:val="style17"/>
          </w:rPr>
          <w:t>9</w:t>
        </w:r>
      </w:hyperlink>
      <w:r>
        <w:rPr/>
        <w:t xml:space="preserve">, </w:t>
      </w:r>
      <w:hyperlink w:anchor="Lbl34812">
        <w:r>
          <w:rPr>
            <w:rStyle w:val="style17"/>
          </w:rPr>
          <w:t>12</w:t>
        </w:r>
      </w:hyperlink>
      <w:r>
        <w:rPr/>
        <w:t xml:space="preserve"> и </w:t>
      </w:r>
      <w:hyperlink w:anchor="Lbl34814">
        <w:r>
          <w:rPr>
            <w:rStyle w:val="style17"/>
          </w:rPr>
          <w:t>14 части 8</w:t>
        </w:r>
      </w:hyperlink>
      <w:r>
        <w:rPr/>
        <w:t xml:space="preserve"> настоящей статьи.</w:t>
      </w:r>
    </w:p>
    <w:p>
      <w:pPr>
        <w:pStyle w:val="style41"/>
        <w:rPr/>
      </w:pPr>
      <w:bookmarkStart w:id="398" w:name="Lbl3410"/>
      <w:bookmarkEnd w:id="398"/>
      <w:r>
        <w:rPr/>
        <w:t>Законом Рязанской области от 9 декабря 2011 г. № 117-ОЗ часть 10 статьи 34 главы 5 настоящего Закона изложена в новой редакции</w:t>
      </w:r>
    </w:p>
    <w:p>
      <w:pPr>
        <w:pStyle w:val="style41"/>
        <w:rPr/>
      </w:pPr>
      <w:r>
        <w:rPr/>
        <w:t>См. текст части в предыдущей редакции</w:t>
      </w:r>
    </w:p>
    <w:p>
      <w:pPr>
        <w:pStyle w:val="style22"/>
        <w:rPr/>
      </w:pPr>
      <w:r>
        <w:rPr>
          <w:rStyle w:val="style18"/>
        </w:rPr>
        <w:t>10.</w:t>
      </w:r>
      <w:r>
        <w:rPr/>
        <w:t xml:space="preserve">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Lbl3488">
        <w:r>
          <w:rPr>
            <w:rStyle w:val="style17"/>
          </w:rPr>
          <w:t>пунктами 8</w:t>
        </w:r>
      </w:hyperlink>
      <w:r>
        <w:rPr/>
        <w:t xml:space="preserve">, </w:t>
      </w:r>
      <w:hyperlink w:anchor="Lbl3489">
        <w:r>
          <w:rPr>
            <w:rStyle w:val="style17"/>
          </w:rPr>
          <w:t>9</w:t>
        </w:r>
      </w:hyperlink>
      <w:r>
        <w:rPr/>
        <w:t xml:space="preserve">, </w:t>
      </w:r>
      <w:hyperlink w:anchor="Lbl34812">
        <w:r>
          <w:rPr>
            <w:rStyle w:val="style17"/>
          </w:rPr>
          <w:t>12</w:t>
        </w:r>
      </w:hyperlink>
      <w:r>
        <w:rPr/>
        <w:t xml:space="preserve"> и </w:t>
      </w:r>
      <w:hyperlink w:anchor="Lbl34814">
        <w:r>
          <w:rPr>
            <w:rStyle w:val="style17"/>
          </w:rPr>
          <w:t>14 части 8</w:t>
        </w:r>
      </w:hyperlink>
      <w:r>
        <w:rPr/>
        <w:t xml:space="preserve"> настоящей статьи.</w:t>
      </w:r>
    </w:p>
    <w:p>
      <w:pPr>
        <w:pStyle w:val="style41"/>
        <w:rPr/>
      </w:pPr>
      <w:bookmarkStart w:id="399" w:name="Lbl3411"/>
      <w:bookmarkEnd w:id="399"/>
      <w:r>
        <w:rPr/>
        <w:t>Законом Рязанской области от 14 мая 2013 г. № 24-ОЗ в часть 11 статьи 34 главы 5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11.</w:t>
      </w:r>
      <w:r>
        <w:rPr/>
        <w:t xml:space="preserve"> По окончании проверки подписных листов составляется итоговый протокол, в котором указываются количество заявленных подписей избирателей, количество представленных подписей избирателей и количество проверенных подписей избирателей, а также количество подписей избирателей, признанных недостоверными и (или) недействительными с указанием оснований (причин) признания их таковыми. Копия протокола передается кандидату не позднее чем за двое суток до заседания соответствующей избирательной комиссии, на котором должен рассматриваться вопрос о регистрации кандидата. В случае, если проведенная соответствующей избирательной комиссией проверка подписных листов повлечет за собой последствия, предусмотренные </w:t>
      </w:r>
      <w:hyperlink w:anchor="Lbl3577">
        <w:r>
          <w:rPr>
            <w:rStyle w:val="style17"/>
          </w:rPr>
          <w:t>пунктом 7 части 7</w:t>
        </w:r>
      </w:hyperlink>
      <w:r>
        <w:rPr/>
        <w:t xml:space="preserve"> или </w:t>
      </w:r>
      <w:hyperlink w:anchor="Lbl3586">
        <w:r>
          <w:rPr>
            <w:rStyle w:val="style17"/>
          </w:rPr>
          <w:t>пунктом 6 части 8 статьи 35</w:t>
        </w:r>
      </w:hyperlink>
      <w:r>
        <w:rPr/>
        <w:t xml:space="preserve"> настоящего Закона, кандидат вправе получить в окружной избирательной комиссии, избирательной комиссии муниципального образования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о регистрации кандидата либо об отказе в регистрации кандидата. Повторная проверка подписных листов после принятия соответствующей избирательной комиссией указанного решения может быть осуществлена только судом или избирательной комиссией в соответствии с </w:t>
      </w:r>
      <w:hyperlink w:anchor="Lbl766">
        <w:r>
          <w:rPr>
            <w:rStyle w:val="style17"/>
          </w:rPr>
          <w:t>частью 6 статьи 76</w:t>
        </w:r>
      </w:hyperlink>
      <w:r>
        <w:rPr/>
        <w:t xml:space="preserve"> настоящего Закона и только в пределах подписей, подлежавших проверке.</w:t>
      </w:r>
    </w:p>
    <w:p>
      <w:pPr>
        <w:pStyle w:val="style47"/>
        <w:rPr/>
      </w:pPr>
      <w:bookmarkStart w:id="400" w:name="Lbl35"/>
      <w:bookmarkEnd w:id="400"/>
      <w:r>
        <w:rPr/>
        <w:t>Статья 35</w:t>
      </w:r>
    </w:p>
    <w:p>
      <w:pPr>
        <w:pStyle w:val="style46"/>
        <w:rPr/>
      </w:pPr>
      <w:r>
        <w:rPr>
          <w:rStyle w:val="style18"/>
        </w:rPr>
        <w:t>Статья 35</w:t>
      </w:r>
      <w:r>
        <w:rPr/>
        <w:t>. Регистрация кандидата, муниципального списка кандидатов</w:t>
      </w:r>
    </w:p>
    <w:p>
      <w:pPr>
        <w:pStyle w:val="style22"/>
        <w:rPr/>
      </w:pPr>
      <w:bookmarkStart w:id="401" w:name="Lbl351"/>
      <w:bookmarkEnd w:id="401"/>
      <w:r>
        <w:rPr>
          <w:rStyle w:val="style18"/>
        </w:rPr>
        <w:t>1.</w:t>
      </w:r>
      <w:r>
        <w:rPr/>
        <w:t xml:space="preserve"> Окружная избирательная комиссия в течение десяти дней со дня приема документов, необходимых для регистрации кандидата, обязана принять решение о регистрации кандидата либо мотивированное решение об отказе в его регистрации.</w:t>
      </w:r>
    </w:p>
    <w:p>
      <w:pPr>
        <w:pStyle w:val="style22"/>
        <w:rPr/>
      </w:pPr>
      <w:bookmarkStart w:id="402" w:name="Lbl352"/>
      <w:bookmarkEnd w:id="402"/>
      <w:r>
        <w:rPr>
          <w:rStyle w:val="style18"/>
        </w:rPr>
        <w:t>2.</w:t>
      </w:r>
      <w:r>
        <w:rPr/>
        <w:t xml:space="preserve"> Избирательная комиссия муниципального образования в течение десяти дней со дня приема документов, необходимых для регистрации муниципального списка кандидатов, выдвинутого по единому избирательному округу, обязана принять решение о регистрации данного списка кандидатов либо мотивированное решение об отказе в регистрации указанного списка. Кандидаты, включенные в зарегистрированные муниципальные списки кандидатов, приобретают статус зарегистрированных кандидатов с момента регистрации муниципального списка кандидатов.</w:t>
      </w:r>
    </w:p>
    <w:p>
      <w:pPr>
        <w:pStyle w:val="style22"/>
        <w:rPr/>
      </w:pPr>
      <w:bookmarkStart w:id="403" w:name="Lbl353"/>
      <w:bookmarkEnd w:id="403"/>
      <w:r>
        <w:rPr>
          <w:rStyle w:val="style18"/>
        </w:rPr>
        <w:t>3.</w:t>
      </w:r>
      <w:r>
        <w:rPr/>
        <w:t xml:space="preserve"> При регистрации кандидата, выдвинутого избирательным объединением по одномандатному (многомандатному) избирательному округу, в решении окружной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муниципального списка кандидатов в решении окружной избирательной комиссии указывается, что кандидат зарегистрирован также в составе муниципального списка кандидатов.</w:t>
      </w:r>
    </w:p>
    <w:p>
      <w:pPr>
        <w:pStyle w:val="style22"/>
        <w:rPr/>
      </w:pPr>
      <w:r>
        <w:rPr/>
        <w:t>Не допускается регистрация одного и того же лица более чем в одном муниципальном списке кандидатов, а также более чем по одному одномандатному (многомандатному) избирательному округу. Кандидат, зарегистрированный по одномандатному (многомандатному) избирательному округу как кандидат, выдвинутый в порядке самовыдвижения, не может быть одновременно зарегистрирован как кандидат, выдвинутый избирательным объединением. Кандидат, зарегистрированный по одномандатному (многомандатному) избирательному округу как кандидат, выдвинутый избирательным объединением, не может быть одновременно зарегистрирован в составе муниципального списка кандидатов другого избирательного объединения. Одно и то же лицо может быть одновременно зарегистрировано по одному одномандатному (многомандатному) избирательному округу и в составе муниципального списка кандидатов, если этот кандидат и список кандидатов были выдвинуты одним и тем же избирательным объединением.</w:t>
      </w:r>
    </w:p>
    <w:p>
      <w:pPr>
        <w:pStyle w:val="style22"/>
        <w:rPr/>
      </w:pPr>
      <w:bookmarkStart w:id="404" w:name="Lbl354"/>
      <w:bookmarkEnd w:id="404"/>
      <w:r>
        <w:rPr>
          <w:rStyle w:val="style18"/>
        </w:rPr>
        <w:t>4.</w:t>
      </w:r>
      <w:r>
        <w:rPr/>
        <w:t xml:space="preserve"> В решении соответствующей избирательной комиссии о регистрации кандидата, муниципального списка кандидатов указываются дата и время регистрации.</w:t>
      </w:r>
    </w:p>
    <w:p>
      <w:pPr>
        <w:pStyle w:val="style41"/>
        <w:rPr/>
      </w:pPr>
      <w:bookmarkStart w:id="405" w:name="Lbl355"/>
      <w:bookmarkEnd w:id="405"/>
      <w:r>
        <w:rPr/>
        <w:t>Законом Рязанской области от 9 декабря 2011 г. № 117-ОЗ в часть 5 статьи 35 главы 5 настоящего Закона внесены изменения</w:t>
      </w:r>
    </w:p>
    <w:p>
      <w:pPr>
        <w:pStyle w:val="style41"/>
        <w:rPr/>
      </w:pPr>
      <w:r>
        <w:rPr/>
        <w:t>См. текст части в предыдущей редакции</w:t>
      </w:r>
    </w:p>
    <w:p>
      <w:pPr>
        <w:pStyle w:val="style22"/>
        <w:rPr/>
      </w:pPr>
      <w:r>
        <w:rPr>
          <w:rStyle w:val="style18"/>
        </w:rPr>
        <w:t>5.</w:t>
      </w:r>
      <w:r>
        <w:rPr/>
        <w:t xml:space="preserve"> При выявлении неполноты сведений о кандидатах или несоблюдения требований законодательства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Lbl271">
        <w:r>
          <w:rPr>
            <w:rStyle w:val="style17"/>
          </w:rPr>
          <w:t>частями 1</w:t>
        </w:r>
      </w:hyperlink>
      <w:r>
        <w:rPr/>
        <w:t xml:space="preserve"> и </w:t>
      </w:r>
      <w:hyperlink w:anchor="Lbl273">
        <w:r>
          <w:rPr>
            <w:rStyle w:val="style17"/>
          </w:rPr>
          <w:t>3 статьи 27</w:t>
        </w:r>
      </w:hyperlink>
      <w:r>
        <w:rPr/>
        <w:t xml:space="preserve">, </w:t>
      </w:r>
      <w:hyperlink w:anchor="Lbl3013">
        <w:r>
          <w:rPr>
            <w:rStyle w:val="style17"/>
          </w:rPr>
          <w:t>частью 3 статьи 30</w:t>
        </w:r>
      </w:hyperlink>
      <w:r>
        <w:rPr/>
        <w:t xml:space="preserve"> настоящего Закона, а также в иные документы (за исключением подписанных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w:t>
      </w:r>
    </w:p>
    <w:p>
      <w:pPr>
        <w:pStyle w:val="style22"/>
        <w:rPr/>
      </w:pPr>
      <w:r>
        <w:rPr/>
        <w:t xml:space="preserve">Под заменой ранее представленного документа понимается представление заявления о его замене и нового документа. Прием указанных документов избирательной комиссией осуществляется в порядке, установленном </w:t>
      </w:r>
      <w:hyperlink w:anchor="Lbl333">
        <w:r>
          <w:rPr>
            <w:rStyle w:val="style17"/>
          </w:rPr>
          <w:t>частью 3 статьи 33</w:t>
        </w:r>
      </w:hyperlink>
      <w:r>
        <w:rPr/>
        <w:t xml:space="preserve"> настоящего Закона, без возврата ранее представленного документа.</w:t>
      </w:r>
    </w:p>
    <w:p>
      <w:pPr>
        <w:pStyle w:val="style22"/>
        <w:rPr/>
      </w:pPr>
      <w:r>
        <w:rPr/>
        <w:t xml:space="preserve">Соответствующая избирательная комиссия в указанных случаях обязана проверить достоверность вновь представленных сведений в порядке, установленном </w:t>
      </w:r>
      <w:hyperlink w:anchor="Lbl277">
        <w:r>
          <w:rPr>
            <w:rStyle w:val="style17"/>
          </w:rPr>
          <w:t>частью 7 статьи 27</w:t>
        </w:r>
      </w:hyperlink>
      <w:r>
        <w:rPr/>
        <w:t xml:space="preserve">, </w:t>
      </w:r>
      <w:hyperlink w:anchor="Lbl3017">
        <w:r>
          <w:rPr>
            <w:rStyle w:val="style17"/>
          </w:rPr>
          <w:t>частями 17</w:t>
        </w:r>
      </w:hyperlink>
      <w:r>
        <w:rPr/>
        <w:t xml:space="preserve"> и </w:t>
      </w:r>
      <w:hyperlink w:anchor="Lbl3018">
        <w:r>
          <w:rPr>
            <w:rStyle w:val="style17"/>
          </w:rPr>
          <w:t>18 статьи 30</w:t>
        </w:r>
      </w:hyperlink>
      <w:r>
        <w:rPr/>
        <w:t xml:space="preserve"> настоящего Закона.</w:t>
      </w:r>
    </w:p>
    <w:p>
      <w:pPr>
        <w:pStyle w:val="style22"/>
        <w:rPr/>
      </w:pPr>
      <w:bookmarkStart w:id="406" w:name="Lbl356"/>
      <w:bookmarkEnd w:id="406"/>
      <w:r>
        <w:rPr>
          <w:rStyle w:val="style18"/>
        </w:rPr>
        <w:t>6.</w:t>
      </w:r>
      <w:r>
        <w:rPr/>
        <w:t xml:space="preserve"> В случае отказа в регистрации кандидата, списка кандидатов, исключения кандидата из списка кандидатов, соответствующая избирательная комиссия в течение одних суток с момента принятия ею решения об отказе в регистрации, исключении из списка, обязана выдать кандидату, уполномоченному представителю избирательного объединения, выдвинувшего кандидата, список кандидатов, копию решения с изложением оснований отказа, исключения кандидата из списка кандидатов.</w:t>
      </w:r>
    </w:p>
    <w:p>
      <w:pPr>
        <w:pStyle w:val="style22"/>
        <w:rPr/>
      </w:pPr>
      <w:bookmarkStart w:id="407" w:name="Lbl357"/>
      <w:bookmarkEnd w:id="407"/>
      <w:r>
        <w:rPr>
          <w:rStyle w:val="style18"/>
        </w:rPr>
        <w:t>7.</w:t>
      </w:r>
      <w:r>
        <w:rPr/>
        <w:t xml:space="preserve"> Основаниями отказа в регистрации кандидата являются:</w:t>
      </w:r>
    </w:p>
    <w:p>
      <w:pPr>
        <w:pStyle w:val="style22"/>
        <w:rPr/>
      </w:pPr>
      <w:bookmarkStart w:id="408" w:name="Lbl3571"/>
      <w:bookmarkEnd w:id="408"/>
      <w:r>
        <w:rPr>
          <w:rStyle w:val="style18"/>
        </w:rPr>
        <w:t>1)</w:t>
      </w:r>
      <w:r>
        <w:rPr/>
        <w:t xml:space="preserve"> отсутствие у кандидата пассивного избирательного права;</w:t>
      </w:r>
    </w:p>
    <w:p>
      <w:pPr>
        <w:pStyle w:val="style22"/>
        <w:rPr/>
      </w:pPr>
      <w:bookmarkStart w:id="409" w:name="Lbl3572"/>
      <w:bookmarkEnd w:id="409"/>
      <w:r>
        <w:rPr>
          <w:rStyle w:val="style18"/>
        </w:rPr>
        <w:t>2)</w:t>
      </w:r>
      <w:r>
        <w:rPr/>
        <w:t xml:space="preserve">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Lbl282">
        <w:r>
          <w:rPr>
            <w:rStyle w:val="style17"/>
          </w:rPr>
          <w:t>части 2 статьи 28</w:t>
        </w:r>
      </w:hyperlink>
      <w:r>
        <w:rPr/>
        <w:t xml:space="preserve"> настоящего Закона;</w:t>
      </w:r>
    </w:p>
    <w:p>
      <w:pPr>
        <w:pStyle w:val="style22"/>
        <w:rPr/>
      </w:pPr>
      <w:bookmarkStart w:id="410" w:name="Lbl3573"/>
      <w:bookmarkEnd w:id="410"/>
      <w:r>
        <w:rPr>
          <w:rStyle w:val="style18"/>
        </w:rPr>
        <w:t>3)</w:t>
      </w:r>
      <w:r>
        <w:rPr/>
        <w:t xml:space="preserve"> отсутствие среди документов, представленных для уведомления о выдвижении и регистрации кандидата, документов, необходимых в соответствии с настоящим Законом для уведомления о выдвижении и (или) регистрации кандидата;</w:t>
      </w:r>
    </w:p>
    <w:p>
      <w:pPr>
        <w:pStyle w:val="style22"/>
        <w:rPr/>
      </w:pPr>
      <w:bookmarkStart w:id="411" w:name="Lbl3574"/>
      <w:bookmarkEnd w:id="411"/>
      <w:r>
        <w:rPr>
          <w:rStyle w:val="style18"/>
        </w:rPr>
        <w:t>4)</w:t>
      </w:r>
      <w:r>
        <w:rPr/>
        <w:t xml:space="preserve">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Закона;</w:t>
      </w:r>
    </w:p>
    <w:p>
      <w:pPr>
        <w:pStyle w:val="style22"/>
        <w:rPr/>
      </w:pPr>
      <w:bookmarkStart w:id="412" w:name="Lbl3575"/>
      <w:bookmarkEnd w:id="412"/>
      <w:r>
        <w:rPr>
          <w:rStyle w:val="style18"/>
        </w:rPr>
        <w:t>5)</w:t>
      </w:r>
      <w:r>
        <w:rPr/>
        <w:t xml:space="preserve"> отсутствие на день, предшествующий дню заседания окружной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Lbl271">
        <w:r>
          <w:rPr>
            <w:rStyle w:val="style17"/>
          </w:rPr>
          <w:t>частями 1</w:t>
        </w:r>
      </w:hyperlink>
      <w:r>
        <w:rPr/>
        <w:t xml:space="preserve"> и </w:t>
      </w:r>
      <w:hyperlink w:anchor="Lbl273">
        <w:r>
          <w:rPr>
            <w:rStyle w:val="style17"/>
          </w:rPr>
          <w:t>3 статьи 27 и</w:t>
        </w:r>
      </w:hyperlink>
      <w:r>
        <w:rPr/>
        <w:t xml:space="preserve"> </w:t>
      </w:r>
      <w:hyperlink w:anchor="Lbl3011">
        <w:r>
          <w:rPr>
            <w:rStyle w:val="style17"/>
          </w:rPr>
          <w:t>частями 1 — 3</w:t>
        </w:r>
      </w:hyperlink>
      <w:r>
        <w:rPr/>
        <w:t xml:space="preserve">, </w:t>
      </w:r>
      <w:hyperlink w:anchor="Lbl311">
        <w:r>
          <w:rPr>
            <w:rStyle w:val="style17"/>
          </w:rPr>
          <w:t>11</w:t>
        </w:r>
      </w:hyperlink>
      <w:r>
        <w:rPr/>
        <w:t xml:space="preserve">, </w:t>
      </w:r>
      <w:hyperlink w:anchor="Lbl312">
        <w:r>
          <w:rPr>
            <w:rStyle w:val="style17"/>
          </w:rPr>
          <w:t>12 статьи 30</w:t>
        </w:r>
      </w:hyperlink>
      <w:r>
        <w:rPr/>
        <w:t xml:space="preserve"> настоящего Закона;</w:t>
      </w:r>
    </w:p>
    <w:p>
      <w:pPr>
        <w:pStyle w:val="style22"/>
        <w:rPr/>
      </w:pPr>
      <w:bookmarkStart w:id="413" w:name="Lbl3576"/>
      <w:bookmarkEnd w:id="413"/>
      <w:r>
        <w:rPr>
          <w:rStyle w:val="style18"/>
        </w:rPr>
        <w:t>6)</w:t>
      </w:r>
      <w:r>
        <w:rPr/>
        <w:t xml:space="preserve"> наличие среди подписей избирателей, представленных для регистрации кандидата, более десяти процентов подписей, собранных в местах, где в соответствии с настоящим Законом сбор подписей запрещен;</w:t>
      </w:r>
    </w:p>
    <w:p>
      <w:pPr>
        <w:pStyle w:val="style22"/>
        <w:rPr/>
      </w:pPr>
      <w:bookmarkStart w:id="414" w:name="Lbl3577"/>
      <w:bookmarkEnd w:id="414"/>
      <w:r>
        <w:rPr>
          <w:rStyle w:val="style18"/>
        </w:rPr>
        <w:t>7)</w:t>
      </w:r>
      <w:r>
        <w:rPr/>
        <w:t xml:space="preserve"> недостаточное количество достоверных подписей избирателей, представленных для регистрации кандидата, либо выявление 10 и более процентов недостоверных и (или) недействительных подписей от общего количества подписей, отобранных для проверки. Выявление 10 и более процентов недостоверных и (или) недействительных подписей от общего количества подписей, отобранных для проверки, не является основанием для отказа в регистрации кандидата в случае, когда для его регистрации требуется представить менее 200 подписей, если достоверных подписей достаточно для регистрации кандидата;</w:t>
      </w:r>
    </w:p>
    <w:p>
      <w:pPr>
        <w:pStyle w:val="style22"/>
        <w:rPr/>
      </w:pPr>
      <w:bookmarkStart w:id="415" w:name="Lbl3578"/>
      <w:bookmarkEnd w:id="415"/>
      <w:r>
        <w:rPr>
          <w:rStyle w:val="style18"/>
        </w:rPr>
        <w:t>8)</w:t>
      </w:r>
      <w:r>
        <w:rPr/>
        <w:t xml:space="preserve"> сокрытие кандидатом сведений о неснятой и непогашенной судимости, которые должны быть представлены в соответствии в </w:t>
      </w:r>
      <w:hyperlink w:anchor="Lbl272">
        <w:r>
          <w:rPr>
            <w:rStyle w:val="style17"/>
          </w:rPr>
          <w:t>частью 2 статьи 27</w:t>
        </w:r>
      </w:hyperlink>
      <w:r>
        <w:rPr/>
        <w:t xml:space="preserve">, </w:t>
      </w:r>
      <w:hyperlink w:anchor="Lbl3031">
        <w:r>
          <w:rPr>
            <w:rStyle w:val="style17"/>
          </w:rPr>
          <w:t>пунктом 1 части 3 статьи 30</w:t>
        </w:r>
      </w:hyperlink>
      <w:r>
        <w:rPr/>
        <w:t xml:space="preserve"> настоящего Закона;</w:t>
      </w:r>
    </w:p>
    <w:p>
      <w:pPr>
        <w:pStyle w:val="style22"/>
        <w:rPr/>
      </w:pPr>
      <w:bookmarkStart w:id="416" w:name="Lbl3579"/>
      <w:bookmarkEnd w:id="416"/>
      <w:r>
        <w:rPr>
          <w:rStyle w:val="style18"/>
        </w:rPr>
        <w:t>9)</w:t>
      </w:r>
      <w:r>
        <w:rPr/>
        <w:t xml:space="preserve"> несоздание кандидатом избирательного фонда (за исключением случаев, когда в соответствии с </w:t>
      </w:r>
      <w:hyperlink w:anchor="Lbl551">
        <w:r>
          <w:rPr>
            <w:rStyle w:val="style17"/>
          </w:rPr>
          <w:t>частью 1 статьи 55</w:t>
        </w:r>
      </w:hyperlink>
      <w:r>
        <w:rPr/>
        <w:t xml:space="preserve"> настоящего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pPr>
        <w:pStyle w:val="style22"/>
        <w:rPr/>
      </w:pPr>
      <w:bookmarkStart w:id="417" w:name="Lbl35710"/>
      <w:bookmarkEnd w:id="417"/>
      <w:r>
        <w:rPr>
          <w:rStyle w:val="style18"/>
        </w:rPr>
        <w:t>10)</w:t>
      </w:r>
      <w:r>
        <w:rPr/>
        <w:t xml:space="preserve">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пяти процентов от установленного настоящим Законом предельного размера расходования средств избирательного фонда кандидата;</w:t>
      </w:r>
    </w:p>
    <w:p>
      <w:pPr>
        <w:pStyle w:val="style22"/>
        <w:rPr/>
      </w:pPr>
      <w:bookmarkStart w:id="418" w:name="Lbl35711"/>
      <w:bookmarkEnd w:id="418"/>
      <w:r>
        <w:rPr>
          <w:rStyle w:val="style18"/>
        </w:rPr>
        <w:t>11)</w:t>
      </w:r>
      <w:r>
        <w:rPr/>
        <w:t xml:space="preserve"> превышение кандидатом при финансировании своей избирательной кампании более чем на пять процентов установленного настоящим Законом предельного размера расходования средств избирательного фонда кандидата;</w:t>
      </w:r>
    </w:p>
    <w:p>
      <w:pPr>
        <w:pStyle w:val="style22"/>
        <w:rPr/>
      </w:pPr>
      <w:bookmarkStart w:id="419" w:name="Lbl35712"/>
      <w:bookmarkEnd w:id="419"/>
      <w:r>
        <w:rPr>
          <w:rStyle w:val="style18"/>
        </w:rPr>
        <w:t>12)</w:t>
      </w:r>
      <w:r>
        <w:rPr/>
        <w:t xml:space="preserve"> установленный решением суда факт несоблюдения кандидатом в течение агитационного периода ограничений, предусмотренных </w:t>
      </w:r>
      <w:hyperlink w:anchor="Lbl521">
        <w:r>
          <w:rPr>
            <w:rStyle w:val="style17"/>
          </w:rPr>
          <w:t>частью 1</w:t>
        </w:r>
      </w:hyperlink>
      <w:r>
        <w:rPr/>
        <w:t xml:space="preserve"> или </w:t>
      </w:r>
      <w:hyperlink w:anchor="Lbl522">
        <w:r>
          <w:rPr>
            <w:rStyle w:val="style17"/>
          </w:rPr>
          <w:t>2 статьи 52</w:t>
        </w:r>
      </w:hyperlink>
      <w:r>
        <w:rPr/>
        <w:t xml:space="preserve"> настоящего Закона;</w:t>
      </w:r>
    </w:p>
    <w:p>
      <w:pPr>
        <w:pStyle w:val="style22"/>
        <w:rPr/>
      </w:pPr>
      <w:bookmarkStart w:id="420" w:name="Lbl35713"/>
      <w:bookmarkEnd w:id="420"/>
      <w:r>
        <w:rPr>
          <w:rStyle w:val="style18"/>
        </w:rPr>
        <w:t>13)</w:t>
      </w:r>
      <w:r>
        <w:rPr/>
        <w:t xml:space="preserve"> неоднократное использование кандидатом преимуществ своего должностного или служебного положения;</w:t>
      </w:r>
    </w:p>
    <w:p>
      <w:pPr>
        <w:pStyle w:val="style22"/>
        <w:rPr/>
      </w:pPr>
      <w:bookmarkStart w:id="421" w:name="Lbl35714"/>
      <w:bookmarkEnd w:id="421"/>
      <w:r>
        <w:rPr>
          <w:rStyle w:val="style18"/>
        </w:rPr>
        <w:t>14)</w:t>
      </w:r>
      <w:r>
        <w:rPr/>
        <w:t xml:space="preserve"> регистрация кандидата в другом избирательном округе, за исключением выдвижения кандидата одновременно в одномандатном (многомандатном) и в составе списка кандидатов, выдвинутого избирательным объединением по единому избирательному округу;</w:t>
      </w:r>
    </w:p>
    <w:p>
      <w:pPr>
        <w:pStyle w:val="style22"/>
        <w:rPr/>
      </w:pPr>
      <w:bookmarkStart w:id="422" w:name="Lbl35715"/>
      <w:bookmarkEnd w:id="422"/>
      <w:r>
        <w:rPr>
          <w:rStyle w:val="style18"/>
        </w:rPr>
        <w:t>15)</w:t>
      </w:r>
      <w:r>
        <w:rPr/>
        <w:t xml:space="preserve">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pPr>
        <w:pStyle w:val="style22"/>
        <w:rPr/>
      </w:pPr>
      <w:bookmarkStart w:id="423" w:name="Lbl358"/>
      <w:bookmarkEnd w:id="423"/>
      <w:r>
        <w:rPr>
          <w:rStyle w:val="style18"/>
        </w:rPr>
        <w:t>8.</w:t>
      </w:r>
      <w:r>
        <w:rPr/>
        <w:t xml:space="preserve"> Основаниями отказа в регистрации муниципального списка кандидатов по единому избирательному округу являются:</w:t>
      </w:r>
    </w:p>
    <w:p>
      <w:pPr>
        <w:pStyle w:val="style22"/>
        <w:rPr/>
      </w:pPr>
      <w:bookmarkStart w:id="424" w:name="Lbl3581"/>
      <w:bookmarkEnd w:id="424"/>
      <w:r>
        <w:rPr>
          <w:rStyle w:val="style18"/>
        </w:rPr>
        <w:t>1)</w:t>
      </w:r>
      <w:r>
        <w:rPr/>
        <w:t xml:space="preserve"> несоблюдение требований к выдвижению списка кандидатов по единому избирательному округу, предусмотренных Федеральным законом «О политических партиях», за исключением требований, предусмотренных пунктом 3.1 статьи 36 указанного Федерального закона;</w:t>
      </w:r>
    </w:p>
    <w:p>
      <w:pPr>
        <w:pStyle w:val="style22"/>
        <w:rPr/>
      </w:pPr>
      <w:bookmarkStart w:id="425" w:name="Lbl3582"/>
      <w:bookmarkEnd w:id="425"/>
      <w:r>
        <w:rPr>
          <w:rStyle w:val="style18"/>
        </w:rPr>
        <w:t>2)</w:t>
      </w:r>
      <w:r>
        <w:rPr/>
        <w:t xml:space="preserve">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pPr>
        <w:pStyle w:val="style22"/>
        <w:rPr/>
      </w:pPr>
      <w:bookmarkStart w:id="426" w:name="Lbl3583"/>
      <w:bookmarkEnd w:id="426"/>
      <w:r>
        <w:rPr>
          <w:rStyle w:val="style18"/>
        </w:rPr>
        <w:t>3)</w:t>
      </w:r>
      <w:r>
        <w:rPr/>
        <w:t xml:space="preserve">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Закона (за исключением случаев ненадлежащего оформления документов в отношении отдельных кандидатов, включенных в список кандидатов);</w:t>
      </w:r>
    </w:p>
    <w:p>
      <w:pPr>
        <w:pStyle w:val="style22"/>
        <w:rPr/>
      </w:pPr>
      <w:bookmarkStart w:id="427" w:name="Lbl3584"/>
      <w:bookmarkEnd w:id="427"/>
      <w:r>
        <w:rPr>
          <w:rStyle w:val="style18"/>
        </w:rPr>
        <w:t>4)</w:t>
      </w:r>
      <w:r>
        <w:rPr/>
        <w:t xml:space="preserve">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Законом (за исключением случаев отсутствия сведений в отношении отдельных кандидатов, включенных в список кандидатов);</w:t>
      </w:r>
    </w:p>
    <w:p>
      <w:pPr>
        <w:pStyle w:val="style22"/>
        <w:rPr/>
      </w:pPr>
      <w:bookmarkStart w:id="428" w:name="Lbl3585"/>
      <w:bookmarkEnd w:id="428"/>
      <w:r>
        <w:rPr>
          <w:rStyle w:val="style18"/>
        </w:rPr>
        <w:t>5)</w:t>
      </w:r>
      <w:r>
        <w:rPr/>
        <w:t xml:space="preserve"> утратил силу;</w:t>
      </w:r>
    </w:p>
    <w:p>
      <w:pPr>
        <w:pStyle w:val="style41"/>
        <w:rPr/>
      </w:pPr>
      <w:r>
        <w:rPr/>
        <w:t>См. текст пункта 5 части 8 статьи 35</w:t>
      </w:r>
    </w:p>
    <w:p>
      <w:pPr>
        <w:pStyle w:val="style22"/>
        <w:rPr/>
      </w:pPr>
      <w:bookmarkStart w:id="429" w:name="Lbl3586"/>
      <w:bookmarkEnd w:id="429"/>
      <w:r>
        <w:rPr>
          <w:rStyle w:val="style18"/>
        </w:rPr>
        <w:t>6)</w:t>
      </w:r>
      <w:r>
        <w:rPr/>
        <w:t xml:space="preserve"> утратил силу;</w:t>
      </w:r>
    </w:p>
    <w:p>
      <w:pPr>
        <w:pStyle w:val="style41"/>
        <w:rPr/>
      </w:pPr>
      <w:r>
        <w:rPr/>
        <w:t>См. текст пункта 6 части 8 статьи 35</w:t>
      </w:r>
    </w:p>
    <w:p>
      <w:pPr>
        <w:pStyle w:val="style22"/>
        <w:rPr/>
      </w:pPr>
      <w:bookmarkStart w:id="430" w:name="Lbl3587"/>
      <w:bookmarkEnd w:id="430"/>
      <w:r>
        <w:rPr>
          <w:rStyle w:val="style18"/>
        </w:rPr>
        <w:t>7)</w:t>
      </w:r>
      <w:r>
        <w:rPr/>
        <w:t xml:space="preserve">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pPr>
        <w:pStyle w:val="style22"/>
        <w:rPr/>
      </w:pPr>
      <w:bookmarkStart w:id="431" w:name="Lbl3588"/>
      <w:bookmarkEnd w:id="431"/>
      <w:r>
        <w:rPr>
          <w:rStyle w:val="style18"/>
        </w:rPr>
        <w:t>8)</w:t>
      </w:r>
      <w:r>
        <w:rPr/>
        <w:t xml:space="preserve">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пяти процентов от установленного настоящим Законом предельного размера расходования средств избирательного фонда;</w:t>
      </w:r>
    </w:p>
    <w:p>
      <w:pPr>
        <w:pStyle w:val="style22"/>
        <w:rPr/>
      </w:pPr>
      <w:bookmarkStart w:id="432" w:name="Lbl3589"/>
      <w:bookmarkEnd w:id="432"/>
      <w:r>
        <w:rPr>
          <w:rStyle w:val="style18"/>
        </w:rPr>
        <w:t>9)</w:t>
      </w:r>
      <w:r>
        <w:rPr/>
        <w:t xml:space="preserve"> превышение избирательным объединением при финансировании своей избирательной кампании более чем на пять процентов от установленного настоящим Законом предельного размера расходования средств избирательного фонда;</w:t>
      </w:r>
    </w:p>
    <w:p>
      <w:pPr>
        <w:pStyle w:val="style22"/>
        <w:rPr/>
      </w:pPr>
      <w:bookmarkStart w:id="433" w:name="Lbl35810"/>
      <w:bookmarkEnd w:id="433"/>
      <w:r>
        <w:rPr>
          <w:rStyle w:val="style18"/>
        </w:rPr>
        <w:t>10)</w:t>
      </w:r>
      <w:r>
        <w:rPr/>
        <w:t xml:space="preserve"> превышение числа кандидатов, исключенных из списка кандидатов по заявлениям кандидатов о снятии своих кандидатур, по решению избирательного объединения (за исключением выбытия по вынуждающим к тому обстоятельствам), а также по решению избирательной комиссии муниципального образования, принятому в связи с наличием предусмотренных </w:t>
      </w:r>
      <w:hyperlink w:anchor="Lbl3589">
        <w:r>
          <w:rPr>
            <w:rStyle w:val="style17"/>
          </w:rPr>
          <w:t>частью 9</w:t>
        </w:r>
      </w:hyperlink>
      <w:r>
        <w:rPr/>
        <w:t xml:space="preserve"> настоящей статьи оснований для такого исключения, более чем на 50 процентов от общего числа кандидатов в заверенном списке кандидатов на выборах депутатов представительного органа муниципального образования;</w:t>
      </w:r>
    </w:p>
    <w:p>
      <w:pPr>
        <w:pStyle w:val="style22"/>
        <w:rPr/>
      </w:pPr>
      <w:bookmarkStart w:id="434" w:name="Lbl35811"/>
      <w:bookmarkEnd w:id="434"/>
      <w:r>
        <w:rPr>
          <w:rStyle w:val="style18"/>
        </w:rPr>
        <w:t>11)</w:t>
      </w:r>
      <w:r>
        <w:rPr/>
        <w:t xml:space="preserve"> установленный решением суда факт несоблюдения избирательным объединением ограничений, предусмотренных </w:t>
      </w:r>
      <w:hyperlink w:anchor="Lbl521">
        <w:r>
          <w:rPr>
            <w:rStyle w:val="style17"/>
          </w:rPr>
          <w:t>частью 1</w:t>
        </w:r>
      </w:hyperlink>
      <w:r>
        <w:rPr/>
        <w:t xml:space="preserve"> или </w:t>
      </w:r>
      <w:hyperlink w:anchor="Lbl522">
        <w:r>
          <w:rPr>
            <w:rStyle w:val="style17"/>
          </w:rPr>
          <w:t>2 статьи 52</w:t>
        </w:r>
      </w:hyperlink>
      <w:r>
        <w:rPr/>
        <w:t xml:space="preserve"> настоящего Закона;</w:t>
      </w:r>
    </w:p>
    <w:p>
      <w:pPr>
        <w:pStyle w:val="style22"/>
        <w:rPr/>
      </w:pPr>
      <w:bookmarkStart w:id="435" w:name="Lbl35812"/>
      <w:bookmarkEnd w:id="435"/>
      <w:r>
        <w:rPr>
          <w:rStyle w:val="style18"/>
        </w:rPr>
        <w:t>12)</w:t>
      </w:r>
      <w:r>
        <w:rPr/>
        <w:t xml:space="preserve">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pPr>
        <w:pStyle w:val="style22"/>
        <w:rPr/>
      </w:pPr>
      <w:bookmarkStart w:id="436" w:name="Lbl35813"/>
      <w:bookmarkEnd w:id="436"/>
      <w:r>
        <w:rPr>
          <w:rStyle w:val="style18"/>
        </w:rPr>
        <w:t>13)</w:t>
      </w:r>
      <w:r>
        <w:rPr/>
        <w:t xml:space="preserve">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pPr>
        <w:pStyle w:val="style41"/>
        <w:rPr/>
      </w:pPr>
      <w:bookmarkStart w:id="437" w:name="Lbl35814"/>
      <w:bookmarkEnd w:id="437"/>
      <w:r>
        <w:rPr/>
        <w:t>Законом Рязанской области от 14 мая 2013 г. № 24-ОЗ часть 8 статьи 35 главы 5 настоящего Закона дополнена пунктом 14, вступающим в силу через десять дней после дня официального опубликования названного Закона</w:t>
      </w:r>
    </w:p>
    <w:p>
      <w:pPr>
        <w:pStyle w:val="style22"/>
        <w:rPr/>
      </w:pPr>
      <w:r>
        <w:rPr>
          <w:rStyle w:val="style18"/>
        </w:rPr>
        <w:t>14)</w:t>
      </w:r>
      <w:r>
        <w:rPr/>
        <w:t xml:space="preserve"> выбытие кандидатов, в результате чего число внутримуниципальных групп кандидатов в списке кандидатов оказалось меньше установленного </w:t>
      </w:r>
      <w:hyperlink w:anchor="Lbl2983">
        <w:r>
          <w:rPr>
            <w:rStyle w:val="style17"/>
          </w:rPr>
          <w:t>абзацем третьим части 8 статьи 29</w:t>
        </w:r>
      </w:hyperlink>
      <w:r>
        <w:rPr/>
        <w:t xml:space="preserve"> настоящего Закона.</w:t>
      </w:r>
    </w:p>
    <w:p>
      <w:pPr>
        <w:pStyle w:val="style22"/>
        <w:rPr/>
      </w:pPr>
      <w:bookmarkStart w:id="438" w:name="Lbl359"/>
      <w:bookmarkEnd w:id="438"/>
      <w:r>
        <w:rPr>
          <w:rStyle w:val="style18"/>
        </w:rPr>
        <w:t>9.</w:t>
      </w:r>
      <w:r>
        <w:rPr/>
        <w:t xml:space="preserve"> Основаниями исключения кандидата из заверенного списка кандидатов являются:</w:t>
      </w:r>
    </w:p>
    <w:p>
      <w:pPr>
        <w:pStyle w:val="style22"/>
        <w:rPr/>
      </w:pPr>
      <w:bookmarkStart w:id="439" w:name="Lbl3591"/>
      <w:bookmarkEnd w:id="439"/>
      <w:r>
        <w:rPr>
          <w:rStyle w:val="style18"/>
        </w:rPr>
        <w:t>1)</w:t>
      </w:r>
      <w:r>
        <w:rPr/>
        <w:t xml:space="preserve"> отсутствие у кандидата пассивного избирательного права;</w:t>
      </w:r>
    </w:p>
    <w:p>
      <w:pPr>
        <w:pStyle w:val="style22"/>
        <w:rPr/>
      </w:pPr>
      <w:bookmarkStart w:id="440" w:name="Lbl3592"/>
      <w:bookmarkEnd w:id="440"/>
      <w:r>
        <w:rPr>
          <w:rStyle w:val="style18"/>
        </w:rPr>
        <w:t>2)</w:t>
      </w:r>
      <w:r>
        <w:rPr/>
        <w:t xml:space="preserve"> сокрытие кандидатом сведений о неснятой и непогашенной судимости, которые должны быть представлены в соответствии с </w:t>
      </w:r>
      <w:hyperlink w:anchor="Lbl3031">
        <w:r>
          <w:rPr>
            <w:rStyle w:val="style17"/>
          </w:rPr>
          <w:t>пунктом 1 части 3 статьи 30</w:t>
        </w:r>
      </w:hyperlink>
      <w:r>
        <w:rPr/>
        <w:t xml:space="preserve"> настоящего Закона;</w:t>
      </w:r>
    </w:p>
    <w:p>
      <w:pPr>
        <w:pStyle w:val="style22"/>
        <w:rPr/>
      </w:pPr>
      <w:bookmarkStart w:id="441" w:name="Lbl3593"/>
      <w:bookmarkEnd w:id="441"/>
      <w:r>
        <w:rPr>
          <w:rStyle w:val="style18"/>
        </w:rPr>
        <w:t>3)</w:t>
      </w:r>
      <w:r>
        <w:rPr/>
        <w:t xml:space="preserve"> установленный решением суда факт несоблюдения кандидатом в течение агитационного периода ограничений, предусмотренных </w:t>
      </w:r>
      <w:hyperlink w:anchor="Lbl521">
        <w:r>
          <w:rPr>
            <w:rStyle w:val="style17"/>
          </w:rPr>
          <w:t>частью 1</w:t>
        </w:r>
      </w:hyperlink>
      <w:r>
        <w:rPr/>
        <w:t xml:space="preserve"> или </w:t>
      </w:r>
      <w:hyperlink w:anchor="Lbl522">
        <w:r>
          <w:rPr>
            <w:rStyle w:val="style17"/>
          </w:rPr>
          <w:t>2 статьи 52</w:t>
        </w:r>
      </w:hyperlink>
      <w:r>
        <w:rPr/>
        <w:t xml:space="preserve"> настоящего Закона;</w:t>
      </w:r>
    </w:p>
    <w:p>
      <w:pPr>
        <w:pStyle w:val="style22"/>
        <w:rPr/>
      </w:pPr>
      <w:bookmarkStart w:id="442" w:name="Lbl3594"/>
      <w:bookmarkEnd w:id="442"/>
      <w:r>
        <w:rPr>
          <w:rStyle w:val="style18"/>
        </w:rPr>
        <w:t>4)</w:t>
      </w:r>
      <w:r>
        <w:rPr/>
        <w:t xml:space="preserve"> неоднократное использование кандидатом преимуществ своего должностного или служебного положения;</w:t>
      </w:r>
    </w:p>
    <w:p>
      <w:pPr>
        <w:pStyle w:val="style22"/>
        <w:rPr/>
      </w:pPr>
      <w:bookmarkStart w:id="443" w:name="Lbl3595"/>
      <w:bookmarkEnd w:id="443"/>
      <w:r>
        <w:rPr>
          <w:rStyle w:val="style18"/>
        </w:rPr>
        <w:t>5)</w:t>
      </w:r>
      <w:r>
        <w:rPr/>
        <w:t xml:space="preserve"> регистрация кандидата в другом списке кандидатов на данных выборах;</w:t>
      </w:r>
    </w:p>
    <w:p>
      <w:pPr>
        <w:pStyle w:val="style22"/>
        <w:rPr/>
      </w:pPr>
      <w:bookmarkStart w:id="444" w:name="Lbl3596"/>
      <w:bookmarkEnd w:id="444"/>
      <w:r>
        <w:rPr>
          <w:rStyle w:val="style18"/>
        </w:rPr>
        <w:t>6)</w:t>
      </w:r>
      <w:r>
        <w:rPr/>
        <w:t xml:space="preserve">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pPr>
        <w:pStyle w:val="style22"/>
        <w:rPr/>
      </w:pPr>
      <w:bookmarkStart w:id="445" w:name="Lbl3597"/>
      <w:bookmarkEnd w:id="445"/>
      <w:r>
        <w:rPr>
          <w:rStyle w:val="style18"/>
        </w:rPr>
        <w:t>7)</w:t>
      </w:r>
      <w:r>
        <w:rPr/>
        <w:t xml:space="preserve">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Законом для уведомления о выдвижении и (или) регистрации кандидата, включенного в список кандидатов;</w:t>
      </w:r>
    </w:p>
    <w:p>
      <w:pPr>
        <w:pStyle w:val="style22"/>
        <w:rPr/>
      </w:pPr>
      <w:bookmarkStart w:id="446" w:name="Lbl3598"/>
      <w:bookmarkEnd w:id="446"/>
      <w:r>
        <w:rPr>
          <w:rStyle w:val="style18"/>
        </w:rPr>
        <w:t>8)</w:t>
      </w:r>
      <w:r>
        <w:rPr/>
        <w:t xml:space="preserve">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Закона;</w:t>
      </w:r>
    </w:p>
    <w:p>
      <w:pPr>
        <w:pStyle w:val="style22"/>
        <w:rPr/>
      </w:pPr>
      <w:bookmarkStart w:id="447" w:name="Lbl3599"/>
      <w:bookmarkEnd w:id="447"/>
      <w:r>
        <w:rPr>
          <w:rStyle w:val="style18"/>
        </w:rPr>
        <w:t>9)</w:t>
      </w:r>
      <w:r>
        <w:rPr/>
        <w:t xml:space="preserve">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Lbl3011">
        <w:r>
          <w:rPr>
            <w:rStyle w:val="style17"/>
          </w:rPr>
          <w:t>частями 1 — 3 статьи 30</w:t>
        </w:r>
      </w:hyperlink>
      <w:r>
        <w:rPr/>
        <w:t xml:space="preserve"> настоящего Закона.</w:t>
      </w:r>
    </w:p>
    <w:p>
      <w:pPr>
        <w:pStyle w:val="style22"/>
        <w:rPr/>
      </w:pPr>
      <w:bookmarkStart w:id="448" w:name="Lbl3510"/>
      <w:bookmarkEnd w:id="448"/>
      <w:r>
        <w:rPr>
          <w:rStyle w:val="style18"/>
        </w:rPr>
        <w:t>10.</w:t>
      </w:r>
      <w:r>
        <w:rPr/>
        <w:t xml:space="preserve"> Перечни оснований отказа в регистрации кандидата, списка кандидатов, исключения кандидата из списка кандидатов, установленные </w:t>
      </w:r>
      <w:hyperlink w:anchor="Lbl357">
        <w:r>
          <w:rPr>
            <w:rStyle w:val="style17"/>
          </w:rPr>
          <w:t>частями 7 — 9</w:t>
        </w:r>
      </w:hyperlink>
      <w:r>
        <w:rPr/>
        <w:t xml:space="preserve"> настоящей статьи, являются исчерпывающими.</w:t>
      </w:r>
    </w:p>
    <w:p>
      <w:pPr>
        <w:pStyle w:val="style22"/>
        <w:rPr/>
      </w:pPr>
      <w:bookmarkStart w:id="449" w:name="Lbl3511"/>
      <w:bookmarkEnd w:id="449"/>
      <w:r>
        <w:rPr>
          <w:rStyle w:val="style18"/>
        </w:rPr>
        <w:t>11.</w:t>
      </w:r>
      <w:r>
        <w:rPr/>
        <w:t xml:space="preserve"> Каждому зарегистрированному кандидату соответствующей избирательной комиссией выдается удостоверение о регистрации с указанием ее даты и времени. В удостоверении кандидата, зарегистрированного в составе списка кандидатов, выдвинутого по единому избирательному округу, указывается, что кандидат зарегистрирован в составе списка кандидата, а также наименование избирательного объединения, выдвинувшего этот список.</w:t>
      </w:r>
    </w:p>
    <w:p>
      <w:pPr>
        <w:pStyle w:val="style22"/>
        <w:rPr/>
      </w:pPr>
      <w:bookmarkStart w:id="450" w:name="Lbl3512"/>
      <w:bookmarkEnd w:id="450"/>
      <w:r>
        <w:rPr>
          <w:rStyle w:val="style18"/>
        </w:rPr>
        <w:t>12.</w:t>
      </w:r>
      <w:r>
        <w:rPr/>
        <w:t xml:space="preserve"> В случае отказа в регистрации кандидата, списка кандидатов повторное выдвижение их на тех же выборах возможно с соблюдением установленных настоящим Законом порядка и сроков выдвижения.</w:t>
      </w:r>
    </w:p>
    <w:p>
      <w:pPr>
        <w:pStyle w:val="style22"/>
        <w:rPr/>
      </w:pPr>
      <w:bookmarkStart w:id="451" w:name="Lbl3513"/>
      <w:bookmarkEnd w:id="451"/>
      <w:r>
        <w:rPr>
          <w:rStyle w:val="style18"/>
        </w:rPr>
        <w:t>13.</w:t>
      </w:r>
      <w:r>
        <w:rPr/>
        <w:t xml:space="preserve"> Кандидат, выдвинутый в составе списка кандидатов по единому избирательному округу, не позднее чем за 15 дней до дня голосования, а при наличии вынуждающих к тому обстоятельств — не позднее чем за один день до дня голосования, кандидат, выдвинутый по одномандатному (многомандатному) избирательному округу, не позднее чем за пять дней до дня голосования, а при наличии вынуждающих к тому обстоятельств — не позднее чем за один день до дня голосования вправе представить в избирательную комиссию, зарегистрировавшую данного кандидата либо список кандидатов, в составе которого он был зарегистрирован, письменное заявление о снятии своей кандидатуры. Если кандидат, подавший заявление о снятии своей кандидатуры, выдвинут в составе списка кандидатов по единому избирательному округу, избирательная комиссия муниципального образования исключает кандидата из этого списка, при этом если кандидат представит указанное заявление до заверения данного списка кандидатов, избирательная комиссия муниципального образования исключает такого кандидата из списка до такого заверения. Если кандидат, выдвинутый по одномандатному (многомандатному) избирательному округу и подавший заявление о снятии своей кандидатуры, был зарегистрирован, зарегистрировавшая данного кандидата окружная избирательная комиссия принимает решение об аннулировании его регистрации.</w:t>
      </w:r>
    </w:p>
    <w:p>
      <w:pPr>
        <w:pStyle w:val="style22"/>
        <w:rPr/>
      </w:pPr>
      <w:bookmarkStart w:id="452" w:name="Lbl3514"/>
      <w:bookmarkEnd w:id="452"/>
      <w:r>
        <w:rPr>
          <w:rStyle w:val="style18"/>
        </w:rPr>
        <w:t>14.</w:t>
      </w:r>
      <w:r>
        <w:rPr/>
        <w:t xml:space="preserve"> Орган избирательного объединения, принявший решение о выдвижении списка кандидатов по единому избирательному округу, вправе отозвать этот список кандидатов. Решение об отзыве списка кандидатов представляется в избирательную комиссию муниципального образования не позднее чем за пять дней до дня голосования. Если список кандидатов был зарегистрирован, указанная избирательная комиссия принимает решение об аннулировании регистрации списка кандидатов.</w:t>
      </w:r>
    </w:p>
    <w:p>
      <w:pPr>
        <w:pStyle w:val="style22"/>
        <w:rPr/>
      </w:pPr>
      <w:bookmarkStart w:id="453" w:name="Lbl3515"/>
      <w:bookmarkEnd w:id="453"/>
      <w:r>
        <w:rPr>
          <w:rStyle w:val="style18"/>
        </w:rPr>
        <w:t>15.</w:t>
      </w:r>
      <w:r>
        <w:rPr/>
        <w:t xml:space="preserve">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Lbl7610">
        <w:r>
          <w:rPr>
            <w:rStyle w:val="style17"/>
          </w:rPr>
          <w:t>частью 10 статьи 76</w:t>
        </w:r>
      </w:hyperlink>
      <w:r>
        <w:rPr/>
        <w:t xml:space="preserve"> настоящего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или исключения некоторых кандидатов.</w:t>
      </w:r>
    </w:p>
    <w:p>
      <w:pPr>
        <w:pStyle w:val="style41"/>
        <w:rPr/>
      </w:pPr>
      <w:bookmarkStart w:id="454" w:name="Lbl3516"/>
      <w:bookmarkEnd w:id="454"/>
      <w:r>
        <w:rPr/>
        <w:t>Законом Рязанской области от 14 мая 2013 г. № 24-ОЗ в часть 16 статьи 35 главы 5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16.</w:t>
      </w:r>
      <w:r>
        <w:rPr/>
        <w:t xml:space="preserve"> Если при проведении выборов депутатов представительного органа муниципального образования по мажоритарной избирательной системе ко дню голосования в избирательном округе число зарегистрированных кандидатов окажется меньше установленного числа депутатских мандатов или равным ему, проведение голосования по решению окружной избирательной комиссии откладывается на срок не более трех месяцев для дополнительного выдвижения кандидатов и осуществления последующих избирательных действий, за исключением случая, предусмотренного </w:t>
      </w:r>
      <w:hyperlink w:anchor="Lbl3520">
        <w:r>
          <w:rPr>
            <w:rStyle w:val="style17"/>
          </w:rPr>
          <w:t>частью 20</w:t>
        </w:r>
      </w:hyperlink>
      <w:r>
        <w:rPr/>
        <w:t xml:space="preserve"> настоящей статьи.</w:t>
      </w:r>
    </w:p>
    <w:p>
      <w:pPr>
        <w:pStyle w:val="style22"/>
        <w:rPr/>
      </w:pPr>
      <w:bookmarkStart w:id="455" w:name="Lbl3517"/>
      <w:bookmarkEnd w:id="455"/>
      <w:r>
        <w:rPr>
          <w:rStyle w:val="style18"/>
        </w:rPr>
        <w:t>17.</w:t>
      </w:r>
      <w:r>
        <w:rPr/>
        <w:t xml:space="preserve"> При проведении выборов депутатов представительного органа муниципального образования по смешанной избирательной системе:</w:t>
      </w:r>
    </w:p>
    <w:p>
      <w:pPr>
        <w:pStyle w:val="style22"/>
        <w:rPr/>
      </w:pPr>
      <w:bookmarkStart w:id="456" w:name="Lbl35171"/>
      <w:bookmarkEnd w:id="456"/>
      <w:r>
        <w:rPr>
          <w:rStyle w:val="style18"/>
        </w:rPr>
        <w:t>1)</w:t>
      </w:r>
      <w:r>
        <w:rPr/>
        <w:t xml:space="preserve"> если в едином избирательном округе ко дню голосования останется менее двух списков кандидатов, проведение голосования по решению избирательной комиссии муниципального образования откладывается для дополнительного выдвижения списков кандидатов и осуществления последующих избирательных действий;</w:t>
      </w:r>
    </w:p>
    <w:p>
      <w:pPr>
        <w:pStyle w:val="style22"/>
        <w:rPr/>
      </w:pPr>
      <w:bookmarkStart w:id="457" w:name="Lbl35172"/>
      <w:bookmarkEnd w:id="457"/>
      <w:r>
        <w:rPr>
          <w:rStyle w:val="style18"/>
        </w:rPr>
        <w:t>2)</w:t>
      </w:r>
      <w:r>
        <w:rPr/>
        <w:t xml:space="preserve"> если ко дню голосования в многомандатном либо одномандатном избирательном округе ко дню голосования число зарегистрированных кандидатов окажется меньше числа мандатов или равным ему, проведение голосования по решению окружной избирательной комиссии откладывается для дополнительного выдвижения кандидатов и осуществления последующих избирательных действий, за исключением случая, предусмотренного </w:t>
      </w:r>
      <w:hyperlink w:anchor="Lbl3520">
        <w:r>
          <w:rPr>
            <w:rStyle w:val="style17"/>
          </w:rPr>
          <w:t>частью 20</w:t>
        </w:r>
      </w:hyperlink>
      <w:r>
        <w:rPr/>
        <w:t xml:space="preserve"> настоящей статьи.</w:t>
      </w:r>
    </w:p>
    <w:p>
      <w:pPr>
        <w:pStyle w:val="style22"/>
        <w:rPr/>
      </w:pPr>
      <w:bookmarkStart w:id="458" w:name="Lbl3518"/>
      <w:bookmarkEnd w:id="458"/>
      <w:r>
        <w:rPr>
          <w:rStyle w:val="style18"/>
        </w:rPr>
        <w:t>18.</w:t>
      </w:r>
      <w:r>
        <w:rPr/>
        <w:t xml:space="preserve"> Если при проведении выборов депутатов представительного органа муниципального образования по пропорциональной избирательной системе в едином избирательном округе ко дню голосования останется менее двух списков кандидатов, проведение голосования по решению избирательной комиссии муниципального образования откладывается для дополнительного выдвижения списков кандидатов и осуществления последующих избирательных действий.</w:t>
      </w:r>
    </w:p>
    <w:p>
      <w:pPr>
        <w:pStyle w:val="style22"/>
        <w:rPr/>
      </w:pPr>
      <w:bookmarkStart w:id="459" w:name="Lbl3519"/>
      <w:bookmarkEnd w:id="459"/>
      <w:r>
        <w:rPr>
          <w:rStyle w:val="style18"/>
        </w:rPr>
        <w:t>19.</w:t>
      </w:r>
      <w:r>
        <w:rPr/>
        <w:t xml:space="preserve"> Утратила силу.</w:t>
      </w:r>
    </w:p>
    <w:p>
      <w:pPr>
        <w:pStyle w:val="style41"/>
        <w:rPr/>
      </w:pPr>
      <w:r>
        <w:rPr/>
        <w:t>См. текст части 19 статьи 35</w:t>
      </w:r>
    </w:p>
    <w:p>
      <w:pPr>
        <w:pStyle w:val="style22"/>
        <w:rPr/>
      </w:pPr>
      <w:bookmarkStart w:id="460" w:name="Lbl3520"/>
      <w:bookmarkEnd w:id="460"/>
      <w:r>
        <w:rPr>
          <w:rStyle w:val="style18"/>
        </w:rPr>
        <w:t>20.</w:t>
      </w:r>
      <w:r>
        <w:rPr/>
        <w:t xml:space="preserve"> Если в связи с обстоятельствами, предусмотренными </w:t>
      </w:r>
      <w:hyperlink w:anchor="Lbl3516">
        <w:r>
          <w:rPr>
            <w:rStyle w:val="style17"/>
          </w:rPr>
          <w:t>частью 16</w:t>
        </w:r>
      </w:hyperlink>
      <w:r>
        <w:rPr/>
        <w:t xml:space="preserve"> или </w:t>
      </w:r>
      <w:hyperlink w:anchor="Lbl172">
        <w:r>
          <w:rPr>
            <w:rStyle w:val="style17"/>
          </w:rPr>
          <w:t>пунктом 2 части 17</w:t>
        </w:r>
      </w:hyperlink>
      <w:r>
        <w:rPr/>
        <w:t xml:space="preserve"> настоящей статьи, в одномандатном избирательном округе зарегистрированным окажется один кандидат, голосование проводится по одной кандидатуре, при этом кандидат считается избранным, если за него проголосовало не менее 50 процентов избирателей, принявших участие в голосовании.</w:t>
      </w:r>
    </w:p>
    <w:p>
      <w:pPr>
        <w:pStyle w:val="style22"/>
        <w:rPr/>
      </w:pPr>
      <w:bookmarkStart w:id="461" w:name="Lbl3521"/>
      <w:bookmarkEnd w:id="461"/>
      <w:r>
        <w:rPr>
          <w:rStyle w:val="style18"/>
        </w:rPr>
        <w:t>21.</w:t>
      </w:r>
      <w:r>
        <w:rPr/>
        <w:t xml:space="preserve">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соответствующей избирательной комиссией на основании </w:t>
      </w:r>
      <w:hyperlink w:anchor="Lbl763">
        <w:r>
          <w:rPr>
            <w:rStyle w:val="style17"/>
          </w:rPr>
          <w:t>частей 3</w:t>
        </w:r>
      </w:hyperlink>
      <w:r>
        <w:rPr/>
        <w:t xml:space="preserve"> или </w:t>
      </w:r>
      <w:hyperlink w:anchor="Lbl764">
        <w:r>
          <w:rPr>
            <w:rStyle w:val="style17"/>
          </w:rPr>
          <w:t>4 статьи 76</w:t>
        </w:r>
      </w:hyperlink>
      <w:r>
        <w:rPr/>
        <w:t xml:space="preserve"> настоящего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муниципального образования при подготовке и проведении выборов депутатов представительного органа муниципального образования, возмещаются за счет такого кандидата, избирательного объединения.</w:t>
      </w:r>
    </w:p>
    <w:p>
      <w:pPr>
        <w:pStyle w:val="style22"/>
        <w:rPr/>
      </w:pPr>
      <w:bookmarkStart w:id="462" w:name="Lbl3522"/>
      <w:bookmarkEnd w:id="462"/>
      <w:r>
        <w:rPr>
          <w:rStyle w:val="style18"/>
        </w:rPr>
        <w:t>22.</w:t>
      </w:r>
      <w:r>
        <w:rPr/>
        <w:t xml:space="preserve">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или его близких родственников.</w:t>
      </w:r>
    </w:p>
    <w:p>
      <w:pPr>
        <w:pStyle w:val="style22"/>
        <w:rPr/>
      </w:pPr>
      <w:bookmarkStart w:id="463" w:name="Lbl3523"/>
      <w:bookmarkEnd w:id="463"/>
      <w:r>
        <w:rPr>
          <w:rStyle w:val="style18"/>
        </w:rPr>
        <w:t>23.</w:t>
      </w:r>
      <w:r>
        <w:rPr/>
        <w:t xml:space="preserve"> Под обстоятельствами, вынуждающими избирательное объединение отозвать список кандидатов, понимаются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pPr>
        <w:pStyle w:val="style47"/>
        <w:rPr/>
      </w:pPr>
      <w:bookmarkStart w:id="464" w:name="Lbl600"/>
      <w:bookmarkEnd w:id="464"/>
      <w:r>
        <w:rPr/>
        <w:t>Справочник наблюдателя — www.nablawiki.ru</w:t>
      </w:r>
    </w:p>
    <w:p>
      <w:pPr>
        <w:pStyle w:val="style2"/>
        <w:rPr/>
      </w:pPr>
      <w:r>
        <w:rPr/>
        <w:t>Глава 6. Статус кандидатов</w:t>
      </w:r>
    </w:p>
    <w:p>
      <w:pPr>
        <w:pStyle w:val="style47"/>
        <w:rPr/>
      </w:pPr>
      <w:bookmarkStart w:id="465" w:name="Lbl36"/>
      <w:bookmarkEnd w:id="465"/>
      <w:r>
        <w:rPr/>
        <w:t>Статья 36</w:t>
      </w:r>
    </w:p>
    <w:p>
      <w:pPr>
        <w:pStyle w:val="style46"/>
        <w:rPr/>
      </w:pPr>
      <w:r>
        <w:rPr>
          <w:rStyle w:val="style18"/>
        </w:rPr>
        <w:t>Статья 36.</w:t>
      </w:r>
      <w:r>
        <w:rPr/>
        <w:t xml:space="preserve"> Равенство кандидатов</w:t>
      </w:r>
    </w:p>
    <w:p>
      <w:pPr>
        <w:pStyle w:val="style22"/>
        <w:rPr/>
      </w:pPr>
      <w:bookmarkStart w:id="466" w:name="Lbl361"/>
      <w:bookmarkEnd w:id="466"/>
      <w:r>
        <w:rPr>
          <w:rStyle w:val="style18"/>
        </w:rPr>
        <w:t>1.</w:t>
      </w:r>
      <w:r>
        <w:rPr/>
        <w:t xml:space="preserve"> Все кандидаты обладают равными правами и несут равные обязанности, за исключением случаев, установленных Федеральным законом «Об основных гарантиях избирательных прав и права на участие в референдуме граждан Российской Федерации».</w:t>
      </w:r>
    </w:p>
    <w:p>
      <w:pPr>
        <w:pStyle w:val="style22"/>
        <w:rPr/>
      </w:pPr>
      <w:bookmarkStart w:id="467" w:name="Lbl362"/>
      <w:bookmarkEnd w:id="467"/>
      <w:r>
        <w:rPr>
          <w:rStyle w:val="style18"/>
        </w:rPr>
        <w:t>2.</w:t>
      </w:r>
      <w:r>
        <w:rPr/>
        <w:t xml:space="preserve"> От имени кандидатов, выдвинутых по одномандатным (многомандатным) избирательным округам, вправе выступать исключительно их уполномоченные представители по финансовым вопросам, доверенные лица, а от кандидатов, выдвинутых избирательными объединениями в составе муниципального списка кандидатов, — также уполномоченные представители и доверенные лица соответствующих избирательных объединений.</w:t>
      </w:r>
    </w:p>
    <w:p>
      <w:pPr>
        <w:pStyle w:val="style47"/>
        <w:rPr/>
      </w:pPr>
      <w:bookmarkStart w:id="468" w:name="Lbl37"/>
      <w:bookmarkEnd w:id="468"/>
      <w:r>
        <w:rPr/>
        <w:t>Статья 37</w:t>
      </w:r>
    </w:p>
    <w:p>
      <w:pPr>
        <w:pStyle w:val="style46"/>
        <w:rPr/>
      </w:pPr>
      <w:r>
        <w:rPr>
          <w:rStyle w:val="style18"/>
        </w:rPr>
        <w:t>Статья 37.</w:t>
      </w:r>
      <w:r>
        <w:rPr/>
        <w:t xml:space="preserve"> Ограничения, связанные с должностным или служебным положением</w:t>
      </w:r>
    </w:p>
    <w:p>
      <w:pPr>
        <w:pStyle w:val="style22"/>
        <w:rPr/>
      </w:pPr>
      <w:bookmarkStart w:id="469" w:name="Lbl371"/>
      <w:bookmarkEnd w:id="469"/>
      <w:r>
        <w:rPr>
          <w:rStyle w:val="style18"/>
        </w:rPr>
        <w:t>1.</w:t>
      </w:r>
      <w:r>
        <w:rPr/>
        <w:t xml:space="preserve">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pPr>
        <w:pStyle w:val="style22"/>
        <w:rPr/>
      </w:pPr>
      <w:bookmarkStart w:id="470" w:name="Lbl372"/>
      <w:bookmarkEnd w:id="470"/>
      <w:r>
        <w:rPr>
          <w:rStyle w:val="style18"/>
        </w:rPr>
        <w:t>2.</w:t>
      </w:r>
      <w:r>
        <w:rPr/>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pPr>
        <w:pStyle w:val="style22"/>
        <w:rPr/>
      </w:pPr>
      <w:bookmarkStart w:id="471" w:name="Lbl373"/>
      <w:bookmarkEnd w:id="471"/>
      <w:r>
        <w:rPr>
          <w:rStyle w:val="style18"/>
        </w:rPr>
        <w:t>3.</w:t>
      </w:r>
      <w:r>
        <w:rPr/>
        <w:t xml:space="preserve">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pPr>
        <w:pStyle w:val="style22"/>
        <w:rPr/>
      </w:pPr>
      <w:bookmarkStart w:id="472" w:name="Lbl374"/>
      <w:bookmarkEnd w:id="472"/>
      <w:r>
        <w:rPr>
          <w:rStyle w:val="style18"/>
        </w:rPr>
        <w:t>4.</w:t>
      </w:r>
      <w:r>
        <w:rPr/>
        <w:t xml:space="preserve"> Под использованием преимуществ должностного или служебного положения в настоящем Законе понимается:</w:t>
      </w:r>
    </w:p>
    <w:p>
      <w:pPr>
        <w:pStyle w:val="style22"/>
        <w:rPr/>
      </w:pPr>
      <w:bookmarkStart w:id="473" w:name="Lbl3741"/>
      <w:bookmarkEnd w:id="473"/>
      <w:r>
        <w:rPr>
          <w:rStyle w:val="style18"/>
        </w:rPr>
        <w:t>1)</w:t>
      </w:r>
      <w:r>
        <w:rPr/>
        <w:t xml:space="preserve">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pPr>
        <w:pStyle w:val="style22"/>
        <w:rPr/>
      </w:pPr>
      <w:bookmarkStart w:id="474" w:name="Lbl3742"/>
      <w:bookmarkEnd w:id="474"/>
      <w:r>
        <w:rPr>
          <w:rStyle w:val="style18"/>
        </w:rPr>
        <w:t>2)</w:t>
      </w:r>
      <w:r>
        <w:rPr/>
        <w:t xml:space="preserve">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pPr>
        <w:pStyle w:val="style22"/>
        <w:rPr/>
      </w:pPr>
      <w:bookmarkStart w:id="475" w:name="Lbl3743"/>
      <w:bookmarkEnd w:id="475"/>
      <w:r>
        <w:rPr>
          <w:rStyle w:val="style18"/>
        </w:rPr>
        <w:t>3)</w:t>
      </w:r>
      <w:r>
        <w:rPr/>
        <w:t xml:space="preserve">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pPr>
        <w:pStyle w:val="style22"/>
        <w:rPr/>
      </w:pPr>
      <w:bookmarkStart w:id="476" w:name="Lbl3744"/>
      <w:bookmarkEnd w:id="476"/>
      <w:r>
        <w:rPr>
          <w:rStyle w:val="style18"/>
        </w:rPr>
        <w:t>4)</w:t>
      </w:r>
      <w:r>
        <w:rPr/>
        <w:t xml:space="preserve">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pPr>
        <w:pStyle w:val="style22"/>
        <w:rPr/>
      </w:pPr>
      <w:bookmarkStart w:id="477" w:name="Lbl3745"/>
      <w:bookmarkEnd w:id="477"/>
      <w:r>
        <w:rPr>
          <w:rStyle w:val="style18"/>
        </w:rPr>
        <w:t>5)</w:t>
      </w:r>
      <w:r>
        <w:rPr/>
        <w:t xml:space="preserve">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pPr>
        <w:pStyle w:val="style22"/>
        <w:rPr/>
      </w:pPr>
      <w:bookmarkStart w:id="478" w:name="Lbl3746"/>
      <w:bookmarkEnd w:id="478"/>
      <w:r>
        <w:rPr>
          <w:rStyle w:val="style18"/>
        </w:rPr>
        <w:t>6)</w:t>
      </w:r>
      <w:r>
        <w:rPr/>
        <w:t xml:space="preserve">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w:t>
      </w:r>
    </w:p>
    <w:p>
      <w:pPr>
        <w:pStyle w:val="style22"/>
        <w:rPr/>
      </w:pPr>
      <w:bookmarkStart w:id="479" w:name="Lbl3747"/>
      <w:bookmarkEnd w:id="479"/>
      <w:r>
        <w:rPr>
          <w:rStyle w:val="style18"/>
        </w:rPr>
        <w:t>7)</w:t>
      </w:r>
      <w:r>
        <w:rPr/>
        <w:t xml:space="preserve">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pPr>
        <w:pStyle w:val="style22"/>
        <w:rPr/>
      </w:pPr>
      <w:bookmarkStart w:id="480" w:name="Lbl3748"/>
      <w:bookmarkEnd w:id="480"/>
      <w:r>
        <w:rPr>
          <w:rStyle w:val="style18"/>
        </w:rPr>
        <w:t>8)</w:t>
      </w:r>
      <w:r>
        <w:rPr/>
        <w:t xml:space="preserve">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pPr>
        <w:pStyle w:val="style22"/>
        <w:rPr/>
      </w:pPr>
      <w:bookmarkStart w:id="481" w:name="Lbl375"/>
      <w:bookmarkEnd w:id="481"/>
      <w:r>
        <w:rPr>
          <w:rStyle w:val="style18"/>
        </w:rPr>
        <w:t>5.</w:t>
      </w:r>
      <w:r>
        <w:rPr/>
        <w:t xml:space="preserve"> Соблюдение перечисленных в </w:t>
      </w:r>
      <w:hyperlink w:anchor="Lbl374">
        <w:r>
          <w:rPr>
            <w:rStyle w:val="style17"/>
          </w:rPr>
          <w:t>части 4</w:t>
        </w:r>
      </w:hyperlink>
      <w:r>
        <w:rP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pPr>
        <w:pStyle w:val="style22"/>
        <w:rPr/>
      </w:pPr>
      <w:bookmarkStart w:id="482" w:name="Lbl376"/>
      <w:bookmarkEnd w:id="482"/>
      <w:r>
        <w:rPr>
          <w:rStyle w:val="style18"/>
        </w:rPr>
        <w:t>6.</w:t>
      </w:r>
      <w:r>
        <w:rPr/>
        <w:t xml:space="preserve">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pPr>
        <w:pStyle w:val="style47"/>
        <w:rPr/>
      </w:pPr>
      <w:bookmarkStart w:id="483" w:name="Lbl38"/>
      <w:bookmarkEnd w:id="483"/>
      <w:r>
        <w:rPr/>
        <w:t>Статья 38</w:t>
      </w:r>
    </w:p>
    <w:p>
      <w:pPr>
        <w:pStyle w:val="style46"/>
        <w:rPr/>
      </w:pPr>
      <w:r>
        <w:rPr>
          <w:rStyle w:val="style18"/>
        </w:rPr>
        <w:t>Статья 38</w:t>
      </w:r>
      <w:r>
        <w:rPr/>
        <w:t>. Гарантии деятельности зарегистрированного кандидата</w:t>
      </w:r>
    </w:p>
    <w:p>
      <w:pPr>
        <w:pStyle w:val="style22"/>
        <w:rPr/>
      </w:pPr>
      <w:bookmarkStart w:id="484" w:name="Lbl381"/>
      <w:bookmarkEnd w:id="484"/>
      <w:r>
        <w:rPr>
          <w:rStyle w:val="style18"/>
        </w:rPr>
        <w:t>1.</w:t>
      </w:r>
      <w:r>
        <w:rPr/>
        <w:t xml:space="preserve"> Администрация организации, командир воинской части, руководитель органа внутренних дел Российской Федерации, в которых работает, служит, проходит альтернативную гражданскую службу, военные сборы, учится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исполнения служебных обязанностей, учебных занятий в любой день и на любое время в течение этого срока.</w:t>
      </w:r>
    </w:p>
    <w:p>
      <w:pPr>
        <w:pStyle w:val="style22"/>
        <w:rPr/>
      </w:pPr>
      <w:bookmarkStart w:id="485" w:name="Lbl382"/>
      <w:bookmarkEnd w:id="485"/>
      <w:r>
        <w:rPr>
          <w:rStyle w:val="style18"/>
        </w:rPr>
        <w:t>2.</w:t>
      </w:r>
      <w:r>
        <w:rPr/>
        <w:t xml:space="preserve"> Во время проведения выборов зарегистрированный кандидат не может быть по инициативе администрации (работодателя) уволен с работы, со службы, отчислен из образовательного учреждения или без его согласия переведен на другую работу, а также направлен в командировку, призван на военную службу, на военные сборы или направлен на альтернативную гражданскую службу.</w:t>
      </w:r>
    </w:p>
    <w:p>
      <w:pPr>
        <w:pStyle w:val="style22"/>
        <w:rPr/>
      </w:pPr>
      <w:bookmarkStart w:id="486" w:name="Lbl383"/>
      <w:bookmarkEnd w:id="486"/>
      <w:r>
        <w:rPr>
          <w:rStyle w:val="style18"/>
        </w:rPr>
        <w:t>3.</w:t>
      </w:r>
      <w:r>
        <w:rPr/>
        <w:t xml:space="preserve">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pPr>
        <w:pStyle w:val="style22"/>
        <w:rPr/>
      </w:pPr>
      <w:bookmarkStart w:id="487" w:name="Lbl384"/>
      <w:bookmarkEnd w:id="487"/>
      <w:r>
        <w:rPr>
          <w:rStyle w:val="style18"/>
        </w:rPr>
        <w:t>4.</w:t>
      </w:r>
      <w:r>
        <w:rPr/>
        <w:t xml:space="preserve">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руководителя следственного органа Следственного комитета Российской Федерации по району, городу.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руководителя следственного органа Следственного комитета Российской Федерации по району, городу. Зарегистрированный кандидат не может быть подвергнут административному наказанию, налагаемому в судебном порядке, без согласия прокурора района, города. При даче соответствующего согласия руководитель следственного органа Следственного комитета Российской Федерации по району, городу, прокурор района, города обязаны известить об этом избирательную комиссию, зарегистрировавшую кандидата.</w:t>
      </w:r>
    </w:p>
    <w:p>
      <w:pPr>
        <w:pStyle w:val="style22"/>
        <w:rPr/>
      </w:pPr>
      <w:bookmarkStart w:id="488" w:name="Lbl385"/>
      <w:bookmarkEnd w:id="488"/>
      <w:r>
        <w:rPr>
          <w:rStyle w:val="style18"/>
        </w:rPr>
        <w:t>5.</w:t>
      </w:r>
      <w:r>
        <w:rPr/>
        <w:t xml:space="preserve"> Кандидат утрачивает права и освобождается от обязанностей, связанных со статусом кандидата, за исключением обязанностей, предусмотренных </w:t>
      </w:r>
      <w:hyperlink w:anchor="Lbl571">
        <w:r>
          <w:rPr>
            <w:rStyle w:val="style17"/>
          </w:rPr>
          <w:t>частью 1 статьи 57</w:t>
        </w:r>
      </w:hyperlink>
      <w:r>
        <w:rPr/>
        <w:t xml:space="preserve"> настоящего Закона, с момента официального опубликования (обнародования) общих данных о результатах выборов, а при досрочном выбытии — с даты выбытия.</w:t>
      </w:r>
    </w:p>
    <w:p>
      <w:pPr>
        <w:pStyle w:val="style47"/>
        <w:rPr/>
      </w:pPr>
      <w:bookmarkStart w:id="489" w:name="Lbl39"/>
      <w:bookmarkEnd w:id="489"/>
      <w:r>
        <w:rPr/>
        <w:t>Статья 39</w:t>
      </w:r>
    </w:p>
    <w:p>
      <w:pPr>
        <w:pStyle w:val="style46"/>
        <w:rPr/>
      </w:pPr>
      <w:r>
        <w:rPr>
          <w:rStyle w:val="style18"/>
        </w:rPr>
        <w:t>Статья 39.</w:t>
      </w:r>
      <w:r>
        <w:rPr/>
        <w:t xml:space="preserve"> Доверенные лица кандидатов, избирательных объединений</w:t>
      </w:r>
    </w:p>
    <w:p>
      <w:pPr>
        <w:pStyle w:val="style22"/>
        <w:rPr/>
      </w:pPr>
      <w:bookmarkStart w:id="490" w:name="Lbl391"/>
      <w:bookmarkEnd w:id="490"/>
      <w:r>
        <w:rPr>
          <w:rStyle w:val="style18"/>
        </w:rPr>
        <w:t>1.</w:t>
      </w:r>
      <w:r>
        <w:rPr/>
        <w:t xml:space="preserve"> Кандидат, выдвинутый по одномандатному (многомандатному) избирательному округу, вправе назначить не более десяти доверенных лиц. Избирательное объединение, выдвинувшее список кандидатов по единому избирательному округу (независимо от выдвижения им кандидатов по одномандатным (многомандатным) избирательным округам), вправе назначить не более 30 доверенных лиц, а избирательное объединение, выдвинувшее только кандидатов по одномандатным (многомандатным) избирательным округам, — не более 10 доверенных лиц. Регистрация доверенных лиц осуществляется избирательной комиссией, в полномочия которой входит регистрация кандидата, списка кандидатов соответственно в течение трех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В заявлении кандидата (представлении избирательного объединения) относительно каждого доверенного лица указываются следующие сведения: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серия, номер и дата выдачи паспорта или документа, заменяющего паспорт гражданина, номера контактных телефонов.</w:t>
      </w:r>
    </w:p>
    <w:p>
      <w:pPr>
        <w:pStyle w:val="style22"/>
        <w:rPr/>
      </w:pPr>
      <w:bookmarkStart w:id="491" w:name="Lbl392"/>
      <w:bookmarkEnd w:id="491"/>
      <w:r>
        <w:rPr>
          <w:rStyle w:val="style18"/>
        </w:rPr>
        <w:t>2.</w:t>
      </w:r>
      <w:r>
        <w:rPr/>
        <w:t xml:space="preserve">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pPr>
        <w:pStyle w:val="style22"/>
        <w:rPr/>
      </w:pPr>
      <w:bookmarkStart w:id="492" w:name="Lbl393"/>
      <w:bookmarkEnd w:id="492"/>
      <w:r>
        <w:rPr>
          <w:rStyle w:val="style18"/>
        </w:rPr>
        <w:t>3.</w:t>
      </w:r>
      <w:r>
        <w:rPr/>
        <w:t xml:space="preserve"> Доверенные лица получают в соответствующей избирательной комиссии удостоверения. На период полномочий доверенного лица работодатель обязан предоставлять доверенному лицу по его просьбе неоплачиваемый отпуск.</w:t>
      </w:r>
    </w:p>
    <w:p>
      <w:pPr>
        <w:pStyle w:val="style22"/>
        <w:rPr/>
      </w:pPr>
      <w:bookmarkStart w:id="493" w:name="Lbl394"/>
      <w:bookmarkEnd w:id="493"/>
      <w:r>
        <w:rPr>
          <w:rStyle w:val="style18"/>
        </w:rPr>
        <w:t>4.</w:t>
      </w:r>
      <w:r>
        <w:rPr/>
        <w:t xml:space="preserve"> Кандидаты, избирательные объединения, назначившие доверенных лиц, вправе в любое время отозвать их, уведомив об этом соответствующую избирательную комиссию, которая аннулирует выданные этим доверенным лицам удостоверения. Доверенное лицо вправе в любое время по собственной инициативе сложить свои полномочия, вернув в соответствующую избирательную комиссию выданное ему удостоверение и уведомив об этом кандидата, избирательное объединение.</w:t>
      </w:r>
    </w:p>
    <w:p>
      <w:pPr>
        <w:pStyle w:val="style22"/>
        <w:rPr/>
      </w:pPr>
      <w:bookmarkStart w:id="494" w:name="Lbl395"/>
      <w:bookmarkEnd w:id="494"/>
      <w:r>
        <w:rPr>
          <w:rStyle w:val="style18"/>
        </w:rPr>
        <w:t>5.</w:t>
      </w:r>
      <w:r>
        <w:rPr/>
        <w:t xml:space="preserve"> Доверенные лица осуществляют агитационную деятельность в пользу назначившего их кандидата, избирательного объединения.</w:t>
      </w:r>
    </w:p>
    <w:p>
      <w:pPr>
        <w:pStyle w:val="style22"/>
        <w:rPr/>
      </w:pPr>
      <w:bookmarkStart w:id="495" w:name="Lbl396"/>
      <w:bookmarkEnd w:id="495"/>
      <w:r>
        <w:rPr>
          <w:rStyle w:val="style18"/>
        </w:rPr>
        <w:t>6.</w:t>
      </w:r>
      <w:r>
        <w:rPr/>
        <w:t xml:space="preserve">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pPr>
        <w:pStyle w:val="style47"/>
        <w:rPr/>
      </w:pPr>
      <w:bookmarkStart w:id="496" w:name="Lbl40"/>
      <w:bookmarkEnd w:id="496"/>
      <w:r>
        <w:rPr/>
        <w:t>Статья 40</w:t>
      </w:r>
    </w:p>
    <w:p>
      <w:pPr>
        <w:pStyle w:val="style46"/>
        <w:rPr/>
      </w:pPr>
      <w:r>
        <w:rPr>
          <w:rStyle w:val="style18"/>
        </w:rPr>
        <w:t>Статья 40.</w:t>
      </w:r>
      <w:r>
        <w:rPr/>
        <w:t xml:space="preserve"> Статус уполномоченных представителей кандидатов по финансовым вопросам</w:t>
      </w:r>
    </w:p>
    <w:p>
      <w:pPr>
        <w:pStyle w:val="style22"/>
        <w:rPr/>
      </w:pPr>
      <w:bookmarkStart w:id="497" w:name="Lbl401"/>
      <w:bookmarkEnd w:id="497"/>
      <w:r>
        <w:rPr>
          <w:rStyle w:val="style18"/>
        </w:rPr>
        <w:t>1.</w:t>
      </w:r>
      <w:r>
        <w:rPr/>
        <w:t xml:space="preserve"> Кандидат, выдвинутый по одномандатному (многомандатному) избирательному округу, вправе назначить уполномоченного представителя по финансовым вопросам. Уполномоченный представитель кандидата по финансовым вопросам осуществляет свои действия на основании нотариально удостоверенной и оформленной в установленном федеральным законом порядке доверенности, которая выдается кандидатом и в которой указываются фамилия, имя, отчество, дата рождения, серия, номер и дата выдачи паспорта или документа, заменяющего паспорт гражданина, наименование и код выдавшего его органа, адрес места жительства, полномочия уполномоченного представителя по финансовым вопросам кандидата.</w:t>
      </w:r>
    </w:p>
    <w:p>
      <w:pPr>
        <w:pStyle w:val="style22"/>
        <w:rPr/>
      </w:pPr>
      <w:bookmarkStart w:id="498" w:name="Lbl402"/>
      <w:bookmarkEnd w:id="498"/>
      <w:r>
        <w:rPr>
          <w:rStyle w:val="style18"/>
        </w:rPr>
        <w:t>2.</w:t>
      </w:r>
      <w:r>
        <w:rPr/>
        <w:t xml:space="preserve"> При назначении уполномоченного представителя по финансовым вопросам кандидат может передать ему следующие полномочия:</w:t>
      </w:r>
    </w:p>
    <w:p>
      <w:pPr>
        <w:pStyle w:val="style22"/>
        <w:rPr/>
      </w:pPr>
      <w:bookmarkStart w:id="499" w:name="Lbl4021"/>
      <w:bookmarkEnd w:id="499"/>
      <w:r>
        <w:rPr>
          <w:rStyle w:val="style18"/>
        </w:rPr>
        <w:t>1)</w:t>
      </w:r>
      <w:r>
        <w:rPr/>
        <w:t xml:space="preserve"> открытие и закрытие специального избирательного счета;</w:t>
      </w:r>
    </w:p>
    <w:p>
      <w:pPr>
        <w:pStyle w:val="style22"/>
        <w:rPr/>
      </w:pPr>
      <w:bookmarkStart w:id="500" w:name="Lbl4022"/>
      <w:bookmarkEnd w:id="500"/>
      <w:r>
        <w:rPr>
          <w:rStyle w:val="style18"/>
        </w:rPr>
        <w:t>2)</w:t>
      </w:r>
      <w:r>
        <w:rPr/>
        <w:t xml:space="preserve"> распоряжение средствами избирательного фонда;</w:t>
      </w:r>
    </w:p>
    <w:p>
      <w:pPr>
        <w:pStyle w:val="style22"/>
        <w:rPr/>
      </w:pPr>
      <w:bookmarkStart w:id="501" w:name="Lbl4023"/>
      <w:bookmarkEnd w:id="501"/>
      <w:r>
        <w:rPr>
          <w:rStyle w:val="style18"/>
        </w:rPr>
        <w:t>3)</w:t>
      </w:r>
      <w:r>
        <w:rPr/>
        <w:t xml:space="preserve"> учет денежных средств избирательного фонда;</w:t>
      </w:r>
    </w:p>
    <w:p>
      <w:pPr>
        <w:pStyle w:val="style22"/>
        <w:rPr/>
      </w:pPr>
      <w:bookmarkStart w:id="502" w:name="Lbl4024"/>
      <w:bookmarkEnd w:id="502"/>
      <w:r>
        <w:rPr>
          <w:rStyle w:val="style18"/>
        </w:rPr>
        <w:t>4)</w:t>
      </w:r>
      <w:r>
        <w:rPr/>
        <w:t xml:space="preserve"> контроль за поступлением и расходованием средств избирательного фонда;</w:t>
      </w:r>
    </w:p>
    <w:p>
      <w:pPr>
        <w:pStyle w:val="style22"/>
        <w:rPr/>
      </w:pPr>
      <w:bookmarkStart w:id="503" w:name="Lbl4025"/>
      <w:bookmarkEnd w:id="503"/>
      <w:r>
        <w:rPr>
          <w:rStyle w:val="style18"/>
        </w:rPr>
        <w:t>5)</w:t>
      </w:r>
      <w:r>
        <w:rPr/>
        <w:t xml:space="preserve"> право подписи на платежных (расчетных) документах;</w:t>
      </w:r>
    </w:p>
    <w:p>
      <w:pPr>
        <w:pStyle w:val="style22"/>
        <w:rPr/>
      </w:pPr>
      <w:bookmarkStart w:id="504" w:name="Lbl4026"/>
      <w:bookmarkEnd w:id="504"/>
      <w:r>
        <w:rPr>
          <w:rStyle w:val="style18"/>
        </w:rPr>
        <w:t>6)</w:t>
      </w:r>
      <w:r>
        <w:rPr/>
        <w:t xml:space="preserve"> составление итогового финансового отчета;</w:t>
      </w:r>
    </w:p>
    <w:p>
      <w:pPr>
        <w:pStyle w:val="style22"/>
        <w:rPr/>
      </w:pPr>
      <w:bookmarkStart w:id="505" w:name="Lbl4027"/>
      <w:bookmarkEnd w:id="505"/>
      <w:r>
        <w:rPr>
          <w:rStyle w:val="style18"/>
        </w:rPr>
        <w:t>7)</w:t>
      </w:r>
      <w:r>
        <w:rPr/>
        <w:t xml:space="preserve"> иные полномочия (при необходимости).</w:t>
      </w:r>
    </w:p>
    <w:p>
      <w:pPr>
        <w:pStyle w:val="style22"/>
        <w:rPr/>
      </w:pPr>
      <w:bookmarkStart w:id="506" w:name="Lbl403"/>
      <w:bookmarkEnd w:id="506"/>
      <w:r>
        <w:rPr>
          <w:rStyle w:val="style18"/>
        </w:rPr>
        <w:t>3.</w:t>
      </w:r>
      <w:r>
        <w:rPr/>
        <w:t xml:space="preserve"> Регистрация уполномоченного представителя кандидата по финансовым вопросам производится окружной избирательной комиссией на основании письменного заявления кандидата, доверенности, указанной в </w:t>
      </w:r>
      <w:hyperlink w:anchor="Lbl401">
        <w:r>
          <w:rPr>
            <w:rStyle w:val="style17"/>
          </w:rPr>
          <w:t>части 1</w:t>
        </w:r>
      </w:hyperlink>
      <w:r>
        <w:rPr/>
        <w:t xml:space="preserve"> настоящей статьи, при предъявлении уполномоченным представителем кандидата по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начинается со дня регистрации указанного уполномоченного представителя и истекает через 60 дней со дня голосования, а в случае, если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ведется судебное разбирательство с участием соответствующего кандидата, — со дня, следующего за днем вступления в законную силу судебного решения.</w:t>
      </w:r>
    </w:p>
    <w:p>
      <w:pPr>
        <w:pStyle w:val="style22"/>
        <w:rPr/>
      </w:pPr>
      <w:bookmarkStart w:id="507" w:name="Lbl404"/>
      <w:bookmarkEnd w:id="507"/>
      <w:r>
        <w:rPr>
          <w:rStyle w:val="style18"/>
        </w:rPr>
        <w:t>4.</w:t>
      </w:r>
      <w:r>
        <w:rPr/>
        <w:t xml:space="preserve">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окружную избирательную комиссию. Копия указанного заявления должна быть одновременно направлена кандидатом в филиал Сберегательного банка Российской Федерации, иную кредитную организацию (филиал), в котором (в которой) кандидат открыл специальный избирательный счет для формирования своего избирательного фонда.</w:t>
      </w:r>
    </w:p>
    <w:p>
      <w:pPr>
        <w:pStyle w:val="style22"/>
        <w:rPr/>
      </w:pPr>
      <w:bookmarkStart w:id="508" w:name="Lbl405"/>
      <w:bookmarkEnd w:id="508"/>
      <w:r>
        <w:rPr>
          <w:rStyle w:val="style18"/>
        </w:rPr>
        <w:t>5.</w:t>
      </w:r>
      <w:r>
        <w:rPr/>
        <w:t xml:space="preserve"> Регистрация вновь назначенного уполномоченного представителя кандидата по финансовым вопросам осуществляется в порядке, предусмотренном </w:t>
      </w:r>
      <w:hyperlink w:anchor="Lbl403">
        <w:r>
          <w:rPr>
            <w:rStyle w:val="style17"/>
          </w:rPr>
          <w:t>частью 3</w:t>
        </w:r>
      </w:hyperlink>
      <w:r>
        <w:rPr/>
        <w:t xml:space="preserve"> настоящей статьи.</w:t>
      </w:r>
    </w:p>
    <w:p>
      <w:pPr>
        <w:pStyle w:val="style47"/>
        <w:rPr/>
      </w:pPr>
      <w:bookmarkStart w:id="509" w:name="Lbl700"/>
      <w:bookmarkEnd w:id="509"/>
      <w:r>
        <w:rPr/>
        <w:t>Справочник наблюдателя — www.nablawiki.ru</w:t>
      </w:r>
    </w:p>
    <w:p>
      <w:pPr>
        <w:pStyle w:val="style2"/>
        <w:rPr/>
      </w:pPr>
      <w:r>
        <w:rPr/>
        <w:t>Глава 7. Информационное обеспечение выборов депутатов представительного органа муниципального образования</w:t>
      </w:r>
    </w:p>
    <w:p>
      <w:pPr>
        <w:pStyle w:val="style47"/>
        <w:rPr/>
      </w:pPr>
      <w:bookmarkStart w:id="510" w:name="Lbl41"/>
      <w:bookmarkEnd w:id="510"/>
      <w:r>
        <w:rPr/>
        <w:t>Статья 41</w:t>
      </w:r>
    </w:p>
    <w:p>
      <w:pPr>
        <w:pStyle w:val="style46"/>
        <w:rPr/>
      </w:pPr>
      <w:r>
        <w:rPr>
          <w:rStyle w:val="style18"/>
        </w:rPr>
        <w:t>Статья 41</w:t>
      </w:r>
      <w:r>
        <w:rPr/>
        <w:t>. Информационное обеспечение выборов</w:t>
      </w:r>
    </w:p>
    <w:p>
      <w:pPr>
        <w:pStyle w:val="style22"/>
        <w:rPr/>
      </w:pPr>
      <w:r>
        <w:rP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pPr>
        <w:pStyle w:val="style47"/>
        <w:rPr/>
      </w:pPr>
      <w:bookmarkStart w:id="511" w:name="Lbl42"/>
      <w:bookmarkEnd w:id="511"/>
      <w:r>
        <w:rPr/>
        <w:t>Статья 42</w:t>
      </w:r>
    </w:p>
    <w:p>
      <w:pPr>
        <w:pStyle w:val="style46"/>
        <w:rPr/>
      </w:pPr>
      <w:r>
        <w:rPr>
          <w:rStyle w:val="style18"/>
        </w:rPr>
        <w:t>Статья 42</w:t>
      </w:r>
      <w:r>
        <w:rPr/>
        <w:t>. Информирование избирателей</w:t>
      </w:r>
    </w:p>
    <w:p>
      <w:pPr>
        <w:pStyle w:val="style22"/>
        <w:rPr/>
      </w:pPr>
      <w:bookmarkStart w:id="512" w:name="Lbl421"/>
      <w:bookmarkEnd w:id="512"/>
      <w:r>
        <w:rPr>
          <w:rStyle w:val="style18"/>
        </w:rPr>
        <w:t>1.</w:t>
      </w:r>
      <w:r>
        <w:rPr/>
        <w:t xml:space="preserve">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физические и юридические лица в соответствии с Федеральным законом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кандидатах, об избирательных объединениях.</w:t>
      </w:r>
    </w:p>
    <w:p>
      <w:pPr>
        <w:pStyle w:val="style22"/>
        <w:rPr/>
      </w:pPr>
      <w:bookmarkStart w:id="513" w:name="Lbl422"/>
      <w:bookmarkEnd w:id="513"/>
      <w:r>
        <w:rPr>
          <w:rStyle w:val="style18"/>
        </w:rPr>
        <w:t>2.</w:t>
      </w:r>
      <w:r>
        <w:rPr/>
        <w:t xml:space="preserve">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pPr>
        <w:pStyle w:val="style22"/>
        <w:rPr/>
      </w:pPr>
      <w:bookmarkStart w:id="514" w:name="Lbl423"/>
      <w:bookmarkEnd w:id="514"/>
      <w:r>
        <w:rPr>
          <w:rStyle w:val="style18"/>
        </w:rPr>
        <w:t>3.</w:t>
      </w:r>
      <w:r>
        <w:rPr/>
        <w:t xml:space="preserve">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избирательные комиссии. Комиссии также принимают необходимые меры по информированию избирателей, являющихся инвалидами.</w:t>
      </w:r>
    </w:p>
    <w:p>
      <w:pPr>
        <w:pStyle w:val="style22"/>
        <w:rPr/>
      </w:pPr>
      <w:bookmarkStart w:id="515" w:name="Lbl424"/>
      <w:bookmarkEnd w:id="515"/>
      <w:r>
        <w:rPr>
          <w:rStyle w:val="style18"/>
        </w:rPr>
        <w:t>4.</w:t>
      </w:r>
      <w:r>
        <w:rPr/>
        <w:t xml:space="preserve"> Деятельность организаций, осуществляющих выпуск средств массовой информации, по информированию избирателей осуществляется свободно.</w:t>
      </w:r>
    </w:p>
    <w:p>
      <w:pPr>
        <w:pStyle w:val="style22"/>
        <w:rPr/>
      </w:pPr>
      <w:bookmarkStart w:id="516" w:name="Lbl425"/>
      <w:bookmarkEnd w:id="516"/>
      <w:r>
        <w:rPr>
          <w:rStyle w:val="style18"/>
        </w:rPr>
        <w:t>5.</w:t>
      </w:r>
      <w:r>
        <w:rPr/>
        <w:t xml:space="preserve"> В информационных теле- и радиопрограммах, публикациях в периодических печатных изданиях сообщения о проведении предвыборных мероприятий должны даваться исключительно отдельным информационным блоком, без комментариев. В них не должно отдаваться предпочтение какому бы то ни было кандидату, избирательному объединению, в том числе по времени освещения их предвыборной деятельности, объему печатной площади, отведенной для таких сообщений.</w:t>
      </w:r>
    </w:p>
    <w:p>
      <w:pPr>
        <w:pStyle w:val="style22"/>
        <w:rPr/>
      </w:pPr>
      <w:bookmarkStart w:id="517" w:name="Lbl426"/>
      <w:bookmarkEnd w:id="517"/>
      <w:r>
        <w:rPr>
          <w:rStyle w:val="style18"/>
        </w:rPr>
        <w:t>6.</w:t>
      </w:r>
      <w:r>
        <w:rPr/>
        <w:t xml:space="preserve">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pPr>
        <w:pStyle w:val="style41"/>
        <w:rPr/>
      </w:pPr>
      <w:bookmarkStart w:id="518" w:name="Lbl427"/>
      <w:bookmarkEnd w:id="518"/>
      <w:r>
        <w:rPr/>
        <w:t>Законом Рязанской области от 9 декабря 2011 г. № 117-ОЗ в часть 7 статьи 42 главы 7 настоящего Закона внесены изменения</w:t>
      </w:r>
    </w:p>
    <w:p>
      <w:pPr>
        <w:pStyle w:val="style41"/>
        <w:rPr/>
      </w:pPr>
      <w:r>
        <w:rPr/>
        <w:t>См. текст части в предыдущей редакции</w:t>
      </w:r>
    </w:p>
    <w:p>
      <w:pPr>
        <w:pStyle w:val="style22"/>
        <w:rPr/>
      </w:pPr>
      <w:r>
        <w:rPr>
          <w:rStyle w:val="style18"/>
        </w:rPr>
        <w:t>7.</w:t>
      </w:r>
      <w:r>
        <w:rPr/>
        <w:t xml:space="preserve">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style22"/>
        <w:rPr/>
      </w:pPr>
      <w:bookmarkStart w:id="519" w:name="Lbl428"/>
      <w:bookmarkEnd w:id="519"/>
      <w:r>
        <w:rPr>
          <w:rStyle w:val="style18"/>
        </w:rPr>
        <w:t>8.</w:t>
      </w:r>
      <w:r>
        <w:rPr/>
        <w:t xml:space="preserve"> Муниципальные организации телерадиовещания, редакции муниципальных либо районных (городских) периодических печатных изданий, подпадающие под действие </w:t>
      </w:r>
      <w:hyperlink w:anchor="Lbl4422">
        <w:r>
          <w:rPr>
            <w:rStyle w:val="style17"/>
          </w:rPr>
          <w:t>пункта 2 части 2</w:t>
        </w:r>
      </w:hyperlink>
      <w:r>
        <w:rPr/>
        <w:t xml:space="preserve"> и </w:t>
      </w:r>
      <w:hyperlink w:anchor="Lbl443">
        <w:r>
          <w:rPr>
            <w:rStyle w:val="style17"/>
          </w:rPr>
          <w:t>части 3 статьи 44</w:t>
        </w:r>
      </w:hyperlink>
      <w:r>
        <w:rPr/>
        <w:t xml:space="preserve"> настоящего Закона, обязаны безвозмездно предоставлять избирательным комиссиям, обеспечивающим подготовку и проведение выборов депутатов представительных органов муниципальных образований, эфирное время в объеме не менее 20 минут в неделю для информирования избирателей в порядке, установленном настоящим Законом, иными законами, а также печатную площадь в объеме не менее пяти процентов от общего объема еженедельной печатной площади соответствующего издания для опубликования их решений и актов, размещения иной печатной информации.</w:t>
      </w:r>
    </w:p>
    <w:p>
      <w:pPr>
        <w:pStyle w:val="style47"/>
        <w:rPr/>
      </w:pPr>
      <w:bookmarkStart w:id="520" w:name="Lbl43"/>
      <w:bookmarkEnd w:id="520"/>
      <w:r>
        <w:rPr/>
        <w:t>Статья 43</w:t>
      </w:r>
    </w:p>
    <w:p>
      <w:pPr>
        <w:pStyle w:val="style46"/>
        <w:rPr/>
      </w:pPr>
      <w:r>
        <w:rPr>
          <w:rStyle w:val="style18"/>
        </w:rPr>
        <w:t>Статья 43</w:t>
      </w:r>
      <w:r>
        <w:rPr/>
        <w:t>. Опросы общественного мнения</w:t>
      </w:r>
    </w:p>
    <w:p>
      <w:pPr>
        <w:pStyle w:val="style22"/>
        <w:rPr/>
      </w:pPr>
      <w:bookmarkStart w:id="521" w:name="Lbl431"/>
      <w:bookmarkEnd w:id="521"/>
      <w:r>
        <w:rPr>
          <w:rStyle w:val="style18"/>
        </w:rPr>
        <w:t>1.</w:t>
      </w:r>
      <w:r>
        <w:rPr/>
        <w:t xml:space="preserve">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pPr>
        <w:pStyle w:val="style22"/>
        <w:rPr/>
      </w:pPr>
      <w:bookmarkStart w:id="522" w:name="Lbl432"/>
      <w:bookmarkEnd w:id="522"/>
      <w:r>
        <w:rPr>
          <w:rStyle w:val="style18"/>
        </w:rPr>
        <w:t>2.</w:t>
      </w:r>
      <w:r>
        <w:rPr/>
        <w:t xml:space="preserve">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style41"/>
        <w:rPr/>
      </w:pPr>
      <w:bookmarkStart w:id="523" w:name="Lbl433"/>
      <w:bookmarkEnd w:id="523"/>
      <w:r>
        <w:rPr/>
        <w:t>Законом Рязанской области от 9 декабря 2011 г. № 117-ОЗ в часть 3 статьи 43 главы 7 настоящего Закона внесены изменения</w:t>
      </w:r>
    </w:p>
    <w:p>
      <w:pPr>
        <w:pStyle w:val="style41"/>
        <w:rPr/>
      </w:pPr>
      <w:r>
        <w:rPr/>
        <w:t>См. текст части в предыдущей редакции</w:t>
      </w:r>
    </w:p>
    <w:p>
      <w:pPr>
        <w:pStyle w:val="style22"/>
        <w:rPr/>
      </w:pPr>
      <w:r>
        <w:rPr>
          <w:rStyle w:val="style18"/>
        </w:rPr>
        <w:t>3.</w:t>
      </w:r>
      <w:r>
        <w:rPr/>
        <w:t xml:space="preserve">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прогноза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style47"/>
        <w:rPr/>
      </w:pPr>
      <w:bookmarkStart w:id="524" w:name="Lbl44"/>
      <w:bookmarkEnd w:id="524"/>
      <w:r>
        <w:rPr/>
        <w:t>Статья 44</w:t>
      </w:r>
    </w:p>
    <w:p>
      <w:pPr>
        <w:pStyle w:val="style46"/>
        <w:rPr/>
      </w:pPr>
      <w:r>
        <w:rPr>
          <w:rStyle w:val="style18"/>
        </w:rPr>
        <w:t>Статья 44</w:t>
      </w:r>
      <w:r>
        <w:rPr/>
        <w:t>. Организации телерадиовещания и периодические печатные издания, используемые для информационного обеспечения выборов депутатов представительного органа муниципального образования</w:t>
      </w:r>
    </w:p>
    <w:p>
      <w:pPr>
        <w:pStyle w:val="style22"/>
        <w:rPr/>
      </w:pPr>
      <w:bookmarkStart w:id="525" w:name="Lbl441"/>
      <w:bookmarkEnd w:id="525"/>
      <w:r>
        <w:rPr>
          <w:rStyle w:val="style18"/>
        </w:rPr>
        <w:t>1.</w:t>
      </w:r>
      <w:r>
        <w:rPr/>
        <w:t xml:space="preserve"> Информационное обеспечение выборов депутатов представительного органа муниципального образования осуществляется с использованием государственных и муниципальных, а также негосударственных организаций телерадиовещания и редакций государственных, муниципальных, а также негосударственных периодических печатных изданий.</w:t>
      </w:r>
    </w:p>
    <w:p>
      <w:pPr>
        <w:pStyle w:val="style22"/>
        <w:rPr/>
      </w:pPr>
      <w:bookmarkStart w:id="526" w:name="Lbl442"/>
      <w:bookmarkEnd w:id="526"/>
      <w:r>
        <w:rPr>
          <w:rStyle w:val="style18"/>
        </w:rPr>
        <w:t>2.</w:t>
      </w:r>
      <w:r>
        <w:rPr/>
        <w:t xml:space="preserve"> В настоящем Законе под государственными организациями телерадиовещания, государственными периодическими печатными изданиями понимаются региональные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представительного органа муниципального образования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оказывалась государственная поддержка в форме субсидий и (или) субвенций на их функционирование за счет средств областного бюджета, и (или) в уставном (складочном) капитале которых на день официального опубликования (публикации) решения о назначении выборов имеется доля (вклад) Рязанской области.</w:t>
      </w:r>
    </w:p>
    <w:p>
      <w:pPr>
        <w:pStyle w:val="style22"/>
        <w:rPr/>
      </w:pPr>
      <w:r>
        <w:rPr/>
        <w:t>В зависимости от территории распространения информации в Рязанской области государственные периодические печатные издания разделяются в настоящем Законе на:</w:t>
      </w:r>
    </w:p>
    <w:p>
      <w:pPr>
        <w:pStyle w:val="style22"/>
        <w:rPr/>
      </w:pPr>
      <w:bookmarkStart w:id="527" w:name="Lbl4421"/>
      <w:bookmarkEnd w:id="527"/>
      <w:r>
        <w:rPr>
          <w:rStyle w:val="style18"/>
        </w:rPr>
        <w:t>1)</w:t>
      </w:r>
      <w:r>
        <w:rPr/>
        <w:t xml:space="preserve"> областные периодические печатные издания, зарегистрированные для распространения на территории Рязанской области;</w:t>
      </w:r>
    </w:p>
    <w:p>
      <w:pPr>
        <w:pStyle w:val="style22"/>
        <w:rPr/>
      </w:pPr>
      <w:bookmarkStart w:id="528" w:name="Lbl4422"/>
      <w:bookmarkEnd w:id="528"/>
      <w:r>
        <w:rPr>
          <w:rStyle w:val="style18"/>
        </w:rPr>
        <w:t>2)</w:t>
      </w:r>
      <w:r>
        <w:rPr/>
        <w:t xml:space="preserve"> районные (городские) периодические печатные издания, зарегистрированные для распространения на территории соответствующего муниципального образования.</w:t>
      </w:r>
    </w:p>
    <w:p>
      <w:pPr>
        <w:pStyle w:val="style22"/>
        <w:rPr/>
      </w:pPr>
      <w:bookmarkStart w:id="529" w:name="Lbl443"/>
      <w:bookmarkEnd w:id="529"/>
      <w:r>
        <w:rPr>
          <w:rStyle w:val="style18"/>
        </w:rPr>
        <w:t>3.</w:t>
      </w:r>
      <w:r>
        <w:rPr/>
        <w:t xml:space="preserve"> В настоящем Законе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оказывалась муниципальная поддержка в форме субсидий и (или) субвенций на их функционирование за счет средств местного бюджета,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pPr>
        <w:pStyle w:val="style22"/>
        <w:rPr/>
      </w:pPr>
      <w:bookmarkStart w:id="530" w:name="Lbl444"/>
      <w:bookmarkEnd w:id="530"/>
      <w:r>
        <w:rPr>
          <w:rStyle w:val="style18"/>
        </w:rPr>
        <w:t>4.</w:t>
      </w:r>
      <w:r>
        <w:rPr/>
        <w:t xml:space="preserve"> В настоящем Законе под негосударственными организациями телерадиовещания, негосударственными периодическими печатными изданиями понимаются организации телерадиовещания, периодические печатные издания, не подпадающие под действие </w:t>
      </w:r>
      <w:hyperlink w:anchor="Lbl442">
        <w:r>
          <w:rPr>
            <w:rStyle w:val="style17"/>
          </w:rPr>
          <w:t>частей 2</w:t>
        </w:r>
      </w:hyperlink>
      <w:r>
        <w:rPr/>
        <w:t xml:space="preserve"> и </w:t>
      </w:r>
      <w:hyperlink w:anchor="Lbl443">
        <w:r>
          <w:rPr>
            <w:rStyle w:val="style17"/>
          </w:rPr>
          <w:t>3</w:t>
        </w:r>
      </w:hyperlink>
      <w:r>
        <w:rPr/>
        <w:t xml:space="preserve"> настоящей статьи.</w:t>
      </w:r>
    </w:p>
    <w:p>
      <w:pPr>
        <w:pStyle w:val="style22"/>
        <w:rPr/>
      </w:pPr>
      <w:bookmarkStart w:id="531" w:name="Lbl445"/>
      <w:bookmarkEnd w:id="531"/>
      <w:r>
        <w:rPr>
          <w:rStyle w:val="style18"/>
        </w:rPr>
        <w:t>5.</w:t>
      </w:r>
      <w:r>
        <w:rPr/>
        <w:t xml:space="preserve">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pPr>
        <w:pStyle w:val="style22"/>
        <w:rPr/>
      </w:pPr>
      <w:bookmarkStart w:id="532" w:name="Lbl446"/>
      <w:bookmarkEnd w:id="532"/>
      <w:r>
        <w:rPr>
          <w:rStyle w:val="style18"/>
        </w:rPr>
        <w:t>6.</w:t>
      </w:r>
      <w:r>
        <w:rPr/>
        <w:t xml:space="preserve"> Перечень муниципальных организаций телерадиовещания и муниципальных периодических печатных изданий, обязанных предоставлять эфирное время, печатную площадь для проведения предвыборной агитации,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w:t>
      </w:r>
    </w:p>
    <w:p>
      <w:pPr>
        <w:pStyle w:val="style22"/>
        <w:rPr/>
      </w:pPr>
      <w:r>
        <w:rPr/>
        <w:t>В случае отсутствия на территории проведения выборов муниципальных периодических печатных изданий в указанный перечень включаются районные (городские) периодические печатные издания.</w:t>
      </w:r>
    </w:p>
    <w:p>
      <w:pPr>
        <w:pStyle w:val="style22"/>
        <w:rPr/>
      </w:pPr>
      <w:bookmarkStart w:id="533" w:name="Lbl447"/>
      <w:bookmarkEnd w:id="533"/>
      <w:r>
        <w:rPr>
          <w:rStyle w:val="style18"/>
        </w:rPr>
        <w:t>7.</w:t>
      </w:r>
      <w:r>
        <w:rPr/>
        <w:t xml:space="preserve"> Перечень, указанный в </w:t>
      </w:r>
      <w:hyperlink w:anchor="Lbl446">
        <w:r>
          <w:rPr>
            <w:rStyle w:val="style17"/>
          </w:rPr>
          <w:t>части 6</w:t>
        </w:r>
      </w:hyperlink>
      <w:r>
        <w:rPr/>
        <w:t xml:space="preserve"> настоящей статьи, представляется в избирательную комиссию муниципального образования не позднее чем на пятый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pPr>
        <w:pStyle w:val="style22"/>
        <w:rPr/>
      </w:pPr>
      <w:bookmarkStart w:id="534" w:name="Lbl4471"/>
      <w:bookmarkEnd w:id="534"/>
      <w:r>
        <w:rPr>
          <w:rStyle w:val="style18"/>
        </w:rPr>
        <w:t>1)</w:t>
      </w:r>
      <w:r>
        <w:rPr/>
        <w:t xml:space="preserve"> наименование организации телерадиовещания и соответствующего средства массовой информации либо периодического печатного издания;</w:t>
      </w:r>
    </w:p>
    <w:p>
      <w:pPr>
        <w:pStyle w:val="style22"/>
        <w:rPr/>
      </w:pPr>
      <w:bookmarkStart w:id="535" w:name="Lbl4472"/>
      <w:bookmarkEnd w:id="535"/>
      <w:r>
        <w:rPr>
          <w:rStyle w:val="style18"/>
        </w:rPr>
        <w:t>2)</w:t>
      </w:r>
      <w:r>
        <w:rPr/>
        <w:t xml:space="preserve"> юридический адрес организации телерадиовещания либо редакции периодического печатного издания;</w:t>
      </w:r>
    </w:p>
    <w:p>
      <w:pPr>
        <w:pStyle w:val="style22"/>
        <w:rPr/>
      </w:pPr>
      <w:bookmarkStart w:id="536" w:name="Lbl4473"/>
      <w:bookmarkEnd w:id="536"/>
      <w:r>
        <w:rPr>
          <w:rStyle w:val="style18"/>
        </w:rPr>
        <w:t>3)</w:t>
      </w:r>
      <w:r>
        <w:rPr/>
        <w:t xml:space="preserve">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pPr>
        <w:pStyle w:val="style22"/>
        <w:rPr/>
      </w:pPr>
      <w:bookmarkStart w:id="537" w:name="Lbl4474"/>
      <w:bookmarkEnd w:id="537"/>
      <w:r>
        <w:rPr>
          <w:rStyle w:val="style18"/>
        </w:rPr>
        <w:t>4)</w:t>
      </w:r>
      <w:r>
        <w:rPr/>
        <w:t xml:space="preserve"> вид и объем муниципальной (государственной) поддержки (если таковая имелась за год, предшествующий дню официального опубликования (публикации) решения о назначении выборов);</w:t>
      </w:r>
    </w:p>
    <w:p>
      <w:pPr>
        <w:pStyle w:val="style22"/>
        <w:rPr/>
      </w:pPr>
      <w:bookmarkStart w:id="538" w:name="Lbl4475"/>
      <w:bookmarkEnd w:id="538"/>
      <w:r>
        <w:rPr>
          <w:rStyle w:val="style18"/>
        </w:rPr>
        <w:t>5)</w:t>
      </w:r>
      <w:r>
        <w:rPr/>
        <w:t xml:space="preserve"> доля (вклад) муниципальных образований (Рязанской области) в уставном (складочном) капитале (если таковая имелась (таковой имелся) на день официального опубликования (публикации) решения о назначении выборов);</w:t>
      </w:r>
    </w:p>
    <w:p>
      <w:pPr>
        <w:pStyle w:val="style22"/>
        <w:rPr/>
      </w:pPr>
      <w:bookmarkStart w:id="539" w:name="Lbl4476"/>
      <w:bookmarkEnd w:id="539"/>
      <w:r>
        <w:rPr>
          <w:rStyle w:val="style18"/>
        </w:rPr>
        <w:t>6)</w:t>
      </w:r>
      <w:r>
        <w:rPr/>
        <w:t xml:space="preserve"> периодичность выпуска периодического печатного издания;</w:t>
      </w:r>
    </w:p>
    <w:p>
      <w:pPr>
        <w:pStyle w:val="style22"/>
        <w:rPr/>
      </w:pPr>
      <w:bookmarkStart w:id="540" w:name="Lbl4477"/>
      <w:bookmarkEnd w:id="540"/>
      <w:r>
        <w:rPr>
          <w:rStyle w:val="style18"/>
        </w:rPr>
        <w:t>7)</w:t>
      </w:r>
      <w:r>
        <w:rPr/>
        <w:t xml:space="preserve">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pPr>
        <w:pStyle w:val="style47"/>
        <w:rPr/>
      </w:pPr>
      <w:bookmarkStart w:id="541" w:name="Lbl45"/>
      <w:bookmarkEnd w:id="541"/>
      <w:r>
        <w:rPr/>
        <w:t>Статья 45</w:t>
      </w:r>
    </w:p>
    <w:p>
      <w:pPr>
        <w:pStyle w:val="style46"/>
        <w:rPr/>
      </w:pPr>
      <w:r>
        <w:rPr>
          <w:rStyle w:val="style18"/>
        </w:rPr>
        <w:t>Статья 45.</w:t>
      </w:r>
      <w:r>
        <w:rPr/>
        <w:t xml:space="preserve"> Предвыборная агитация</w:t>
      </w:r>
    </w:p>
    <w:p>
      <w:pPr>
        <w:pStyle w:val="style22"/>
        <w:rPr/>
      </w:pPr>
      <w:bookmarkStart w:id="542" w:name="Lbl451"/>
      <w:bookmarkEnd w:id="542"/>
      <w:r>
        <w:rPr>
          <w:rStyle w:val="style18"/>
        </w:rPr>
        <w:t>1.</w:t>
      </w:r>
      <w:r>
        <w:rPr/>
        <w:t xml:space="preserve"> Граждане Российской Федерации, общественные объединения вправе в допускаемых законодательством формах и законными методами проводить предвыборную агитацию.</w:t>
      </w:r>
    </w:p>
    <w:p>
      <w:pPr>
        <w:pStyle w:val="style22"/>
        <w:rPr/>
      </w:pPr>
      <w:bookmarkStart w:id="543" w:name="Lbl452"/>
      <w:bookmarkEnd w:id="543"/>
      <w:r>
        <w:rPr>
          <w:rStyle w:val="style18"/>
        </w:rPr>
        <w:t>2.</w:t>
      </w:r>
      <w:r>
        <w:rPr/>
        <w:t xml:space="preserve"> Предвыборной агитацией, осуществляемой в период избирательной кампании, признаются:</w:t>
      </w:r>
    </w:p>
    <w:p>
      <w:pPr>
        <w:pStyle w:val="style22"/>
        <w:rPr/>
      </w:pPr>
      <w:bookmarkStart w:id="544" w:name="Lbl4521"/>
      <w:bookmarkEnd w:id="544"/>
      <w:r>
        <w:rPr>
          <w:rStyle w:val="style18"/>
        </w:rPr>
        <w:t>1)</w:t>
      </w:r>
      <w:r>
        <w:rPr/>
        <w:t xml:space="preserve"> призывы голосовать за кандидата, кандидатов, список, списки кандидатов либо против него (них);</w:t>
      </w:r>
    </w:p>
    <w:p>
      <w:pPr>
        <w:pStyle w:val="style22"/>
        <w:rPr/>
      </w:pPr>
      <w:bookmarkStart w:id="545" w:name="Lbl4522"/>
      <w:bookmarkEnd w:id="545"/>
      <w:r>
        <w:rPr>
          <w:rStyle w:val="style18"/>
        </w:rPr>
        <w:t>2)</w:t>
      </w:r>
      <w:r>
        <w:rPr/>
        <w:t xml:space="preserve"> выражение предпочтения 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Lbl432">
        <w:r>
          <w:rPr>
            <w:rStyle w:val="style17"/>
          </w:rPr>
          <w:t>частью 2 статьи 43</w:t>
        </w:r>
      </w:hyperlink>
      <w:r>
        <w:rPr/>
        <w:t xml:space="preserve"> настоящего Закона);</w:t>
      </w:r>
    </w:p>
    <w:p>
      <w:pPr>
        <w:pStyle w:val="style22"/>
        <w:rPr/>
      </w:pPr>
      <w:bookmarkStart w:id="546" w:name="Lbl4523"/>
      <w:bookmarkEnd w:id="546"/>
      <w:r>
        <w:rPr>
          <w:rStyle w:val="style18"/>
        </w:rPr>
        <w:t>3)</w:t>
      </w:r>
      <w:r>
        <w:rPr/>
        <w:t xml:space="preserve">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pPr>
        <w:pStyle w:val="style22"/>
        <w:rPr/>
      </w:pPr>
      <w:bookmarkStart w:id="547" w:name="Lbl4524"/>
      <w:bookmarkEnd w:id="547"/>
      <w:r>
        <w:rPr>
          <w:rStyle w:val="style18"/>
        </w:rPr>
        <w:t>4)</w:t>
      </w:r>
      <w:r>
        <w:rPr/>
        <w:t xml:space="preserve">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pPr>
        <w:pStyle w:val="style22"/>
        <w:rPr/>
      </w:pPr>
      <w:bookmarkStart w:id="548" w:name="Lbl4525"/>
      <w:bookmarkEnd w:id="548"/>
      <w:r>
        <w:rPr>
          <w:rStyle w:val="style18"/>
        </w:rPr>
        <w:t>5)</w:t>
      </w:r>
      <w:r>
        <w:rPr/>
        <w:t xml:space="preserve">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pPr>
        <w:pStyle w:val="style22"/>
        <w:rPr/>
      </w:pPr>
      <w:bookmarkStart w:id="549" w:name="Lbl4526"/>
      <w:bookmarkEnd w:id="549"/>
      <w:r>
        <w:rPr>
          <w:rStyle w:val="style18"/>
        </w:rPr>
        <w:t>6)</w:t>
      </w:r>
      <w:r>
        <w:rPr/>
        <w:t xml:space="preserve">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pPr>
        <w:pStyle w:val="style22"/>
        <w:rPr/>
      </w:pPr>
      <w:bookmarkStart w:id="550" w:name="Lbl453"/>
      <w:bookmarkEnd w:id="550"/>
      <w:r>
        <w:rPr>
          <w:rStyle w:val="style18"/>
        </w:rPr>
        <w:t>3.</w:t>
      </w:r>
      <w:r>
        <w:rPr/>
        <w:t xml:space="preserve"> 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w:t>
      </w:r>
      <w:hyperlink w:anchor="Lbl4521">
        <w:r>
          <w:rPr>
            <w:rStyle w:val="style17"/>
          </w:rPr>
          <w:t>пункте 1 части 2</w:t>
        </w:r>
      </w:hyperlink>
      <w:r>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Lbl4522">
        <w:r>
          <w:rPr>
            <w:rStyle w:val="style17"/>
          </w:rPr>
          <w:t>пунктах 2 — 6 части 2</w:t>
        </w:r>
      </w:hyperlink>
      <w:r>
        <w:rPr/>
        <w:t xml:space="preserve"> настоящей статьи, — в случае, если эти действия совершены с такой целью неоднократно.</w:t>
      </w:r>
    </w:p>
    <w:p>
      <w:pPr>
        <w:pStyle w:val="style22"/>
        <w:rPr/>
      </w:pPr>
      <w:bookmarkStart w:id="551" w:name="Lbl454"/>
      <w:bookmarkEnd w:id="551"/>
      <w:r>
        <w:rPr>
          <w:rStyle w:val="style18"/>
        </w:rPr>
        <w:t>4.</w:t>
      </w:r>
      <w:r>
        <w:rPr/>
        <w:t xml:space="preserve"> Предвыборная агитация может проводиться:</w:t>
      </w:r>
    </w:p>
    <w:p>
      <w:pPr>
        <w:pStyle w:val="style22"/>
        <w:rPr/>
      </w:pPr>
      <w:bookmarkStart w:id="552" w:name="Lbl4541"/>
      <w:bookmarkEnd w:id="552"/>
      <w:r>
        <w:rPr>
          <w:rStyle w:val="style18"/>
        </w:rPr>
        <w:t>1)</w:t>
      </w:r>
      <w:r>
        <w:rPr/>
        <w:t xml:space="preserve"> на каналах организаций телерадиовещания и в периодических печатных изданиях;</w:t>
      </w:r>
    </w:p>
    <w:p>
      <w:pPr>
        <w:pStyle w:val="style22"/>
        <w:rPr/>
      </w:pPr>
      <w:bookmarkStart w:id="553" w:name="Lbl4542"/>
      <w:bookmarkEnd w:id="553"/>
      <w:r>
        <w:rPr>
          <w:rStyle w:val="style18"/>
        </w:rPr>
        <w:t>2)</w:t>
      </w:r>
      <w:r>
        <w:rPr/>
        <w:t xml:space="preserve"> посредством проведения агитационных публичных мероприятий;</w:t>
      </w:r>
    </w:p>
    <w:p>
      <w:pPr>
        <w:pStyle w:val="style22"/>
        <w:rPr/>
      </w:pPr>
      <w:bookmarkStart w:id="554" w:name="Lbl4543"/>
      <w:bookmarkEnd w:id="554"/>
      <w:r>
        <w:rPr>
          <w:rStyle w:val="style18"/>
        </w:rPr>
        <w:t>3)</w:t>
      </w:r>
      <w:r>
        <w:rPr/>
        <w:t xml:space="preserve"> посредством выпуска и распространения печатных, аудиовизуальных и других агитационных материалов;</w:t>
      </w:r>
    </w:p>
    <w:p>
      <w:pPr>
        <w:pStyle w:val="style22"/>
        <w:rPr/>
      </w:pPr>
      <w:bookmarkStart w:id="555" w:name="Lbl4544"/>
      <w:bookmarkEnd w:id="555"/>
      <w:r>
        <w:rPr>
          <w:rStyle w:val="style18"/>
        </w:rPr>
        <w:t>4)</w:t>
      </w:r>
      <w:r>
        <w:rPr/>
        <w:t xml:space="preserve"> иными не запрещенными законом методами.</w:t>
      </w:r>
    </w:p>
    <w:p>
      <w:pPr>
        <w:pStyle w:val="style22"/>
        <w:rPr/>
      </w:pPr>
      <w:bookmarkStart w:id="556" w:name="Lbl455"/>
      <w:bookmarkEnd w:id="556"/>
      <w:r>
        <w:rPr>
          <w:rStyle w:val="style18"/>
        </w:rPr>
        <w:t>5.</w:t>
      </w:r>
      <w:r>
        <w:rPr/>
        <w:t xml:space="preserve">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pPr>
        <w:pStyle w:val="style22"/>
        <w:rPr/>
      </w:pPr>
      <w:bookmarkStart w:id="557" w:name="Lbl456"/>
      <w:bookmarkEnd w:id="557"/>
      <w:r>
        <w:rPr>
          <w:rStyle w:val="style18"/>
        </w:rPr>
        <w:t>6.</w:t>
      </w:r>
      <w:r>
        <w:rPr/>
        <w:t xml:space="preserve"> Запрещается проводить предвыборную агитацию, выпускать и распространять любые агитационные материалы:</w:t>
      </w:r>
    </w:p>
    <w:p>
      <w:pPr>
        <w:pStyle w:val="style22"/>
        <w:rPr/>
      </w:pPr>
      <w:bookmarkStart w:id="558" w:name="Lbl4561"/>
      <w:bookmarkEnd w:id="558"/>
      <w:r>
        <w:rPr>
          <w:rStyle w:val="style18"/>
        </w:rPr>
        <w:t>1)</w:t>
      </w:r>
      <w:r>
        <w:rPr/>
        <w:t xml:space="preserve"> федеральным органам государственной власти, органам государственной власти Рязанской области, иным государственным органам, органам местного самоуправления;</w:t>
      </w:r>
    </w:p>
    <w:p>
      <w:pPr>
        <w:pStyle w:val="style22"/>
        <w:rPr/>
      </w:pPr>
      <w:bookmarkStart w:id="559" w:name="Lbl4562"/>
      <w:bookmarkEnd w:id="559"/>
      <w:r>
        <w:rPr>
          <w:rStyle w:val="style18"/>
        </w:rPr>
        <w:t>2)</w:t>
      </w:r>
      <w:r>
        <w:rPr/>
        <w:t xml:space="preserve">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w:t>
      </w:r>
    </w:p>
    <w:p>
      <w:pPr>
        <w:pStyle w:val="style22"/>
        <w:rPr/>
      </w:pPr>
      <w:bookmarkStart w:id="560" w:name="Lbl4563"/>
      <w:bookmarkEnd w:id="560"/>
      <w:r>
        <w:rPr>
          <w:rStyle w:val="style18"/>
        </w:rPr>
        <w:t>3)</w:t>
      </w:r>
      <w:r>
        <w:rPr/>
        <w:t xml:space="preserve"> воинским частям, военным учреждениям и организациям;</w:t>
      </w:r>
    </w:p>
    <w:p>
      <w:pPr>
        <w:pStyle w:val="style22"/>
        <w:rPr/>
      </w:pPr>
      <w:bookmarkStart w:id="561" w:name="Lbl4564"/>
      <w:bookmarkEnd w:id="561"/>
      <w:r>
        <w:rPr>
          <w:rStyle w:val="style18"/>
        </w:rPr>
        <w:t>4)</w:t>
      </w:r>
      <w:r>
        <w:rPr/>
        <w:t xml:space="preserve">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style22"/>
        <w:rPr/>
      </w:pPr>
      <w:bookmarkStart w:id="562" w:name="Lbl4565"/>
      <w:bookmarkEnd w:id="562"/>
      <w:r>
        <w:rPr>
          <w:rStyle w:val="style18"/>
        </w:rPr>
        <w:t>5)</w:t>
      </w:r>
      <w:r>
        <w:rPr/>
        <w:t xml:space="preserve"> избирательным комиссиям, членам избирательных комиссий с правом решающего голоса;</w:t>
      </w:r>
    </w:p>
    <w:p>
      <w:pPr>
        <w:pStyle w:val="style22"/>
        <w:rPr/>
      </w:pPr>
      <w:bookmarkStart w:id="563" w:name="Lbl4566"/>
      <w:bookmarkEnd w:id="563"/>
      <w:r>
        <w:rPr>
          <w:rStyle w:val="style18"/>
        </w:rPr>
        <w:t>6)</w:t>
      </w:r>
      <w:r>
        <w:rPr/>
        <w:t xml:space="preserve"> иностранным гражданам, за исключением случая, предусмотренного </w:t>
      </w:r>
      <w:hyperlink w:anchor="Lbl509">
        <w:r>
          <w:rPr>
            <w:rStyle w:val="style17"/>
          </w:rPr>
          <w:t>частью 9 статьи 5</w:t>
        </w:r>
      </w:hyperlink>
      <w:r>
        <w:rPr/>
        <w:t xml:space="preserve"> настоящего Закона, лицам без гражданства, иностранным юридическим лицам;</w:t>
      </w:r>
    </w:p>
    <w:p>
      <w:pPr>
        <w:pStyle w:val="style22"/>
        <w:rPr/>
      </w:pPr>
      <w:bookmarkStart w:id="564" w:name="Lbl4567"/>
      <w:bookmarkEnd w:id="564"/>
      <w:r>
        <w:rPr>
          <w:rStyle w:val="style18"/>
        </w:rPr>
        <w:t>7)</w:t>
      </w:r>
      <w:r>
        <w:rPr/>
        <w:t xml:space="preserve"> международным организациям и международным общественным движениям;</w:t>
      </w:r>
    </w:p>
    <w:p>
      <w:pPr>
        <w:pStyle w:val="style22"/>
        <w:rPr/>
      </w:pPr>
      <w:bookmarkStart w:id="565" w:name="Lbl4568"/>
      <w:bookmarkEnd w:id="565"/>
      <w:r>
        <w:rPr>
          <w:rStyle w:val="style18"/>
        </w:rPr>
        <w:t>8)</w:t>
      </w:r>
      <w:r>
        <w:rPr/>
        <w:t xml:space="preserve"> представителям организаций, осуществляющих выпуск средств массовой информации, при осуществлении ими профессиональной деятельности;</w:t>
      </w:r>
    </w:p>
    <w:p>
      <w:pPr>
        <w:pStyle w:val="style22"/>
        <w:rPr/>
      </w:pPr>
      <w:bookmarkStart w:id="566" w:name="Lbl4569"/>
      <w:bookmarkEnd w:id="566"/>
      <w:r>
        <w:rPr>
          <w:rStyle w:val="style18"/>
        </w:rPr>
        <w:t>9)</w:t>
      </w:r>
      <w:r>
        <w:rPr/>
        <w:t xml:space="preserve">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Lbl521">
        <w:r>
          <w:rPr>
            <w:rStyle w:val="style17"/>
          </w:rPr>
          <w:t>частью 1 статьи 52</w:t>
        </w:r>
      </w:hyperlink>
      <w:r>
        <w:rPr/>
        <w:t xml:space="preserve"> настоящего Закона.</w:t>
      </w:r>
    </w:p>
    <w:p>
      <w:pPr>
        <w:pStyle w:val="style22"/>
        <w:rPr/>
      </w:pPr>
      <w:bookmarkStart w:id="567" w:name="Lbl457"/>
      <w:bookmarkEnd w:id="567"/>
      <w:r>
        <w:rPr>
          <w:rStyle w:val="style18"/>
        </w:rPr>
        <w:t>7.</w:t>
      </w:r>
      <w:r>
        <w:rPr/>
        <w:t xml:space="preserve">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представительного органа муниципального образования.</w:t>
      </w:r>
    </w:p>
    <w:p>
      <w:pPr>
        <w:pStyle w:val="style22"/>
        <w:rPr/>
      </w:pPr>
      <w:bookmarkStart w:id="568" w:name="Lbl458"/>
      <w:bookmarkEnd w:id="568"/>
      <w:r>
        <w:rPr>
          <w:rStyle w:val="style18"/>
        </w:rPr>
        <w:t>8.</w:t>
      </w:r>
      <w:r>
        <w:rPr/>
        <w:t xml:space="preserve">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за исключением случая, предусмотренного </w:t>
      </w:r>
      <w:hyperlink w:anchor="Lbl94">
        <w:r>
          <w:rPr>
            <w:rStyle w:val="style17"/>
          </w:rPr>
          <w:t>пунктом 4 части 9</w:t>
        </w:r>
      </w:hyperlink>
      <w:r>
        <w:rPr/>
        <w:t xml:space="preserve"> настоящей статьи.</w:t>
      </w:r>
    </w:p>
    <w:p>
      <w:pPr>
        <w:pStyle w:val="style22"/>
        <w:rPr/>
      </w:pPr>
      <w:bookmarkStart w:id="569" w:name="Lbl459"/>
      <w:bookmarkEnd w:id="569"/>
      <w:r>
        <w:rPr>
          <w:rStyle w:val="style18"/>
        </w:rPr>
        <w:t>9.</w:t>
      </w:r>
      <w:r>
        <w:rPr/>
        <w:t xml:space="preserve"> Использование в агитационных материалах кандидата, избирательного объединения изображения физического лица, высказываний физического лица о кандидате, об избирательном объединении возможно только с письменного согласия данного физического лица. Документ, подтверждающий согласие, представляется в соответствующую избирательную комиссию вместе с экземплярами агитационных материалов, представляемых в соответствии с </w:t>
      </w:r>
      <w:hyperlink w:anchor="Lbl514">
        <w:r>
          <w:rPr>
            <w:rStyle w:val="style17"/>
          </w:rPr>
          <w:t>частью 4 статьи 51</w:t>
        </w:r>
      </w:hyperlink>
      <w:r>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соответствующую избирательную комиссию по ее требованию. Данное ограничение не распространяется:</w:t>
      </w:r>
    </w:p>
    <w:p>
      <w:pPr>
        <w:pStyle w:val="style22"/>
        <w:rPr/>
      </w:pPr>
      <w:bookmarkStart w:id="570" w:name="Lbl4591"/>
      <w:bookmarkEnd w:id="570"/>
      <w:r>
        <w:rPr>
          <w:rStyle w:val="style18"/>
        </w:rPr>
        <w:t>1)</w:t>
      </w:r>
      <w:r>
        <w:rPr/>
        <w:t xml:space="preserve"> на использование избирательным объединением высказываний выдвинутого им кандидата о данном избирательном объединении, а также о кандидатах, выдвинутых данным избирательным объединением на выборах депутатов представительного органа муниципального образования;</w:t>
      </w:r>
    </w:p>
    <w:p>
      <w:pPr>
        <w:pStyle w:val="style22"/>
        <w:rPr/>
      </w:pPr>
      <w:bookmarkStart w:id="571" w:name="Lbl4592"/>
      <w:bookmarkEnd w:id="571"/>
      <w:r>
        <w:rPr>
          <w:rStyle w:val="style18"/>
        </w:rPr>
        <w:t>2)</w:t>
      </w:r>
      <w:r>
        <w:rPr/>
        <w:t xml:space="preserve"> на 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агитационных материалах на такое высказывание физического лица, не имеющего в соответствии с настоящим Законом права проводить предвыборную агитацию, допускается только в случае, если это высказывание было обнародовано до официального опубликования (публикации) решения о назначении выборов.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pPr>
        <w:pStyle w:val="style22"/>
        <w:rPr/>
      </w:pPr>
      <w:bookmarkStart w:id="572" w:name="Lbl4593"/>
      <w:bookmarkEnd w:id="572"/>
      <w:r>
        <w:rPr>
          <w:rStyle w:val="style18"/>
        </w:rPr>
        <w:t>3)</w:t>
      </w:r>
      <w:r>
        <w:rPr/>
        <w:t xml:space="preserve"> на цитирование высказываний об избирательном объединении, о кандидате, обнародованных иными избирательными объединениями, а также кандидатами в своих агитационных материалах, изготовленных и распространенных в соответствии с законом;</w:t>
      </w:r>
    </w:p>
    <w:p>
      <w:pPr>
        <w:pStyle w:val="style22"/>
        <w:rPr/>
      </w:pPr>
      <w:bookmarkStart w:id="573" w:name="Lbl4594"/>
      <w:bookmarkEnd w:id="573"/>
      <w:r>
        <w:rPr>
          <w:rStyle w:val="style18"/>
        </w:rPr>
        <w:t>4)</w:t>
      </w:r>
      <w:r>
        <w:rPr/>
        <w:t xml:space="preserve"> на использование кандидатом своих изображений, использование избирательным объединением изображений выдвинутых им кандидатов,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p>
      <w:pPr>
        <w:pStyle w:val="style22"/>
        <w:rPr/>
      </w:pPr>
      <w:bookmarkStart w:id="574" w:name="Lbl4510"/>
      <w:bookmarkEnd w:id="574"/>
      <w:r>
        <w:rPr>
          <w:rStyle w:val="style18"/>
        </w:rPr>
        <w:t>10.</w:t>
      </w:r>
      <w:r>
        <w:rPr/>
        <w:t xml:space="preserve"> Расходы на проведение предвыборной агитации осуществляются исключительно за счет средств соответствующих избирательных фондов в установленном настоящим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pPr>
        <w:pStyle w:val="style41"/>
        <w:rPr/>
      </w:pPr>
      <w:bookmarkStart w:id="575" w:name="Lbl4511"/>
      <w:bookmarkEnd w:id="575"/>
      <w:r>
        <w:rPr/>
        <w:t>Законом Рязанской области от 9 декабря 2011 г. № 117-ОЗ в часть 11 статьи 45 главы 7 настоящего Закона внесены изменения</w:t>
      </w:r>
    </w:p>
    <w:p>
      <w:pPr>
        <w:pStyle w:val="style41"/>
        <w:rPr/>
      </w:pPr>
      <w:r>
        <w:rPr/>
        <w:t>См. текст части в предыдущей редакции</w:t>
      </w:r>
    </w:p>
    <w:p>
      <w:pPr>
        <w:pStyle w:val="style22"/>
        <w:rPr/>
      </w:pPr>
      <w:r>
        <w:rPr>
          <w:rStyle w:val="style18"/>
        </w:rPr>
        <w:t>11.</w:t>
      </w:r>
      <w:r>
        <w:rPr/>
        <w:t xml:space="preserve">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муниципальном периодическом печатном издании, а в случае отсутствия его на территории проведения выборов — в районном (городском)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Законом, либо такая публикация оплачивается из избирательного фонда политической партии, избирательного фонда кандидата, выдвинутого этой политической партией.</w:t>
      </w:r>
    </w:p>
    <w:p>
      <w:pPr>
        <w:pStyle w:val="style47"/>
        <w:rPr/>
      </w:pPr>
      <w:bookmarkStart w:id="576" w:name="Lbl46"/>
      <w:bookmarkEnd w:id="576"/>
      <w:r>
        <w:rPr/>
        <w:t>Статья 46</w:t>
      </w:r>
    </w:p>
    <w:p>
      <w:pPr>
        <w:pStyle w:val="style46"/>
        <w:rPr/>
      </w:pPr>
      <w:r>
        <w:rPr>
          <w:rStyle w:val="style18"/>
        </w:rPr>
        <w:t>Статья 46</w:t>
      </w:r>
      <w:r>
        <w:rPr/>
        <w:t>. Агитационный период</w:t>
      </w:r>
    </w:p>
    <w:p>
      <w:pPr>
        <w:pStyle w:val="style22"/>
        <w:rPr/>
      </w:pPr>
      <w:bookmarkStart w:id="577" w:name="Lbl461"/>
      <w:bookmarkEnd w:id="577"/>
      <w:r>
        <w:rPr>
          <w:rStyle w:val="style18"/>
        </w:rPr>
        <w:t>1.</w:t>
      </w:r>
      <w:r>
        <w:rPr/>
        <w:t xml:space="preserve"> Агитационный период начинается со дня выдвижения кандидата, списка кандидатов. Агитационный период прекращается в ноль часов по местному времени за одни сутки до дня голосования.</w:t>
      </w:r>
    </w:p>
    <w:p>
      <w:pPr>
        <w:pStyle w:val="style22"/>
        <w:rPr/>
      </w:pPr>
      <w:bookmarkStart w:id="578" w:name="Lbl462"/>
      <w:bookmarkEnd w:id="578"/>
      <w:r>
        <w:rPr>
          <w:rStyle w:val="style18"/>
        </w:rPr>
        <w:t>2.</w:t>
      </w:r>
      <w:r>
        <w:rPr/>
        <w:t xml:space="preserve"> Предвыборная агитация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w:t>
      </w:r>
    </w:p>
    <w:p>
      <w:pPr>
        <w:pStyle w:val="style22"/>
        <w:rPr/>
      </w:pPr>
      <w:bookmarkStart w:id="579" w:name="Lbl463"/>
      <w:bookmarkEnd w:id="579"/>
      <w:r>
        <w:rPr>
          <w:rStyle w:val="style18"/>
        </w:rPr>
        <w:t>3.</w:t>
      </w:r>
      <w:r>
        <w:rPr/>
        <w:t xml:space="preserve"> Проведение предвыборной агитации в день голосования и в предшествующий ему день запрещается.</w:t>
      </w:r>
    </w:p>
    <w:p>
      <w:pPr>
        <w:pStyle w:val="style22"/>
        <w:rPr/>
      </w:pPr>
      <w:bookmarkStart w:id="580" w:name="Lbl464"/>
      <w:bookmarkEnd w:id="580"/>
      <w:r>
        <w:rPr>
          <w:rStyle w:val="style18"/>
        </w:rPr>
        <w:t>4.</w:t>
      </w:r>
      <w:r>
        <w:rPr/>
        <w:t xml:space="preserve"> Агитационные печатные материалы (листовки, плакаты и другие материалы), ранее размещенные в установленном федеральным законом порядке на зданиях и сооружениях, за исключением зданий, в которых размещены избирательные комиссии, помещения для голосования, и на расстоянии не менее 50 метров от входа в эти здания, сохраняются в день голосования на прежних местах.</w:t>
      </w:r>
    </w:p>
    <w:p>
      <w:pPr>
        <w:pStyle w:val="style47"/>
        <w:rPr/>
      </w:pPr>
      <w:bookmarkStart w:id="581" w:name="Lbl47"/>
      <w:bookmarkEnd w:id="581"/>
      <w:r>
        <w:rPr/>
        <w:t>Статья 47</w:t>
      </w:r>
    </w:p>
    <w:p>
      <w:pPr>
        <w:pStyle w:val="style46"/>
        <w:rPr/>
      </w:pPr>
      <w:r>
        <w:rPr>
          <w:rStyle w:val="style18"/>
        </w:rPr>
        <w:t>Статья 47</w:t>
      </w:r>
      <w:r>
        <w:rPr/>
        <w:t>. Общие условия проведения предвыборной агитации на каналах организаций телерадиовещания и в периодических печатных изданиях</w:t>
      </w:r>
    </w:p>
    <w:p>
      <w:pPr>
        <w:pStyle w:val="style22"/>
        <w:rPr/>
      </w:pPr>
      <w:bookmarkStart w:id="582" w:name="Lbl471"/>
      <w:bookmarkEnd w:id="582"/>
      <w:r>
        <w:rPr>
          <w:rStyle w:val="style18"/>
        </w:rPr>
        <w:t>1.</w:t>
      </w:r>
      <w:r>
        <w:rPr/>
        <w:t xml:space="preserve">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за плату, а в случаях и порядке, предусмотренных настоящим Законом, — также безвозмездно (бесплатное эфирное время, бесплатная печатная площадь).</w:t>
      </w:r>
    </w:p>
    <w:p>
      <w:pPr>
        <w:pStyle w:val="style22"/>
        <w:rPr/>
      </w:pPr>
      <w:bookmarkStart w:id="583" w:name="Lbl472"/>
      <w:bookmarkEnd w:id="583"/>
      <w:r>
        <w:rPr>
          <w:rStyle w:val="style18"/>
        </w:rPr>
        <w:t>2.</w:t>
      </w:r>
      <w:r>
        <w:rPr/>
        <w:t xml:space="preserve"> Государственные организации телерадиовещания и редакции областных периодических печатных изданий, выполнившие условия </w:t>
      </w:r>
      <w:hyperlink w:anchor="Lbl477">
        <w:r>
          <w:rPr>
            <w:rStyle w:val="style17"/>
          </w:rPr>
          <w:t>части 7</w:t>
        </w:r>
      </w:hyperlink>
      <w:r>
        <w:rPr/>
        <w:t xml:space="preserve"> настоящей статьи, вправе предоставлять зарегистрированным кандидатам, избирательным объединениям эфирное время, печатную площадь для проведения предвыборной агитации за плату.</w:t>
      </w:r>
    </w:p>
    <w:p>
      <w:pPr>
        <w:pStyle w:val="style22"/>
        <w:rPr/>
      </w:pPr>
      <w:bookmarkStart w:id="584" w:name="Lbl473"/>
      <w:bookmarkEnd w:id="584"/>
      <w:r>
        <w:rPr>
          <w:rStyle w:val="style18"/>
        </w:rPr>
        <w:t>3.</w:t>
      </w:r>
      <w:r>
        <w:rPr/>
        <w:t xml:space="preserve">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муниципальный список кандидатов, вправе использовать предоставленные ему эфирное время, печатную площадь для проведения предвыборной агитации за любого выдвинутого им кандидата.</w:t>
      </w:r>
    </w:p>
    <w:p>
      <w:pPr>
        <w:pStyle w:val="style22"/>
        <w:rPr/>
      </w:pPr>
      <w:bookmarkStart w:id="585" w:name="Lbl474"/>
      <w:bookmarkEnd w:id="585"/>
      <w:r>
        <w:rPr>
          <w:rStyle w:val="style18"/>
        </w:rPr>
        <w:t>4.</w:t>
      </w:r>
      <w:r>
        <w:rPr/>
        <w:t xml:space="preserve"> В случае одновременного проведения на одной и той же территории нескольких избирательных кампаний, кампаний референдума и совпадения в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pPr>
        <w:pStyle w:val="style22"/>
        <w:rPr/>
      </w:pPr>
      <w:bookmarkStart w:id="586" w:name="Lbl475"/>
      <w:bookmarkEnd w:id="586"/>
      <w:r>
        <w:rPr>
          <w:rStyle w:val="style18"/>
        </w:rPr>
        <w:t>5.</w:t>
      </w:r>
      <w:r>
        <w:rPr/>
        <w:t xml:space="preserve">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начала избирательной кампании, вправе предоставлять зарегистрированным кандидатам, избирательным объединениям эфирное время, печатную площадь в соответствующих средствах массовой информации. Иные негосударственные организации телерадиовещания и редакции негосударственных периодических печатных изданий не вправе предоставлять зарегистрированным кандидатам, избирательным объединениям эфирное время, печатную площадь.</w:t>
      </w:r>
    </w:p>
    <w:p>
      <w:pPr>
        <w:pStyle w:val="style22"/>
        <w:rPr/>
      </w:pPr>
      <w:bookmarkStart w:id="587" w:name="Lbl476"/>
      <w:bookmarkEnd w:id="587"/>
      <w:r>
        <w:rPr>
          <w:rStyle w:val="style18"/>
        </w:rPr>
        <w:t>6.</w:t>
      </w:r>
      <w:r>
        <w:rPr/>
        <w:t xml:space="preserve"> Условия оплаты эфирного времени, печатной площади, предоставляемых негосударственными организациями телерадиовещания и редакциями негосударственных периодических печатных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учрежденные кандидатами, избирательными объединениями.</w:t>
      </w:r>
    </w:p>
    <w:p>
      <w:pPr>
        <w:pStyle w:val="style22"/>
        <w:rPr/>
      </w:pPr>
      <w:bookmarkStart w:id="588" w:name="Lbl477"/>
      <w:bookmarkEnd w:id="588"/>
      <w:r>
        <w:rPr>
          <w:rStyle w:val="style18"/>
        </w:rPr>
        <w:t>7.</w:t>
      </w:r>
      <w:r>
        <w:rPr/>
        <w:t xml:space="preserve"> При проведении выборов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выборов. Указанные сведения и уведомление о готовности предоставить эфирное время, печатную площадь для проведения предвыборной агитации в тот же срок должны быть представлены в избирательную комиссию муниципального образования.</w:t>
      </w:r>
    </w:p>
    <w:p>
      <w:pPr>
        <w:pStyle w:val="style22"/>
        <w:rPr/>
      </w:pPr>
      <w:bookmarkStart w:id="589" w:name="Lbl478"/>
      <w:bookmarkEnd w:id="589"/>
      <w:r>
        <w:rPr>
          <w:rStyle w:val="style18"/>
        </w:rPr>
        <w:t>8.</w:t>
      </w:r>
      <w:r>
        <w:rPr/>
        <w:t xml:space="preserve"> Негосударственные организации телерадиовещания и редакции негосударственных периодических печатных изданий, редакции областных периодических печатных изданий, выходящих реже чем один раз в неделю, специализированные организации телерадиовещания и редакции специализированных периодических печатных изданий (культурно-просветительских, детских, технических, научных и других) вправе отказаться от предоставления эфирного времени, печатной площади для проведения предвыборной агитации. Таким отказом считается непредставление в избирательную комиссию муниципального образования уведомления, указанного в </w:t>
      </w:r>
      <w:hyperlink w:anchor="Lbl477">
        <w:r>
          <w:rPr>
            <w:rStyle w:val="style17"/>
          </w:rPr>
          <w:t>части 7</w:t>
        </w:r>
      </w:hyperlink>
      <w:r>
        <w:rPr/>
        <w:t xml:space="preserve"> настоящей статьи, в установленный в указанной части срок.</w:t>
      </w:r>
    </w:p>
    <w:p>
      <w:pPr>
        <w:pStyle w:val="style22"/>
        <w:rPr/>
      </w:pPr>
      <w:bookmarkStart w:id="590" w:name="Lbl479"/>
      <w:bookmarkEnd w:id="590"/>
      <w:r>
        <w:rPr>
          <w:rStyle w:val="style18"/>
        </w:rPr>
        <w:t>9.</w:t>
      </w:r>
      <w:r>
        <w:rPr/>
        <w:t xml:space="preserve"> Организации, осуществляющие выпуск средств массовой информации, обязаны вести отдельный учет объемов и стоимости эфирного времени и печатной площади, предоставленных для проведения предвыборной агитации, по формам и в порядке, которые установлены избирательной комиссией муниципального образования, и представлять данные такого учета в эту избирательную комиссию не позднее чем через десять дней со дня голосования.</w:t>
      </w:r>
    </w:p>
    <w:p>
      <w:pPr>
        <w:pStyle w:val="style22"/>
        <w:rPr/>
      </w:pPr>
      <w:bookmarkStart w:id="591" w:name="Lbl4710"/>
      <w:bookmarkEnd w:id="591"/>
      <w:r>
        <w:rPr>
          <w:rStyle w:val="style18"/>
        </w:rPr>
        <w:t>10.</w:t>
      </w:r>
      <w:r>
        <w:rPr/>
        <w:t xml:space="preserve"> Организации, осуществляющие выпуск средств массовой информации, обязаны хранить указанные в </w:t>
      </w:r>
      <w:hyperlink w:anchor="Lbl479">
        <w:r>
          <w:rPr>
            <w:rStyle w:val="style17"/>
          </w:rPr>
          <w:t>части 9</w:t>
        </w:r>
      </w:hyperlink>
      <w:r>
        <w:rPr/>
        <w:t xml:space="preserve"> настоящей статьи учетные документы о безвозмездном и платном предоставлении эфирного времени и печатной площади не менее трех лет со дня голосования.</w:t>
      </w:r>
    </w:p>
    <w:p>
      <w:pPr>
        <w:pStyle w:val="style22"/>
        <w:rPr/>
      </w:pPr>
      <w:bookmarkStart w:id="592" w:name="Lbl4711"/>
      <w:bookmarkEnd w:id="592"/>
      <w:r>
        <w:rPr>
          <w:rStyle w:val="style18"/>
        </w:rPr>
        <w:t>11.</w:t>
      </w:r>
      <w:r>
        <w:rPr/>
        <w:t xml:space="preserve"> Расходы муниципальных организаций телерадиовещания и редакций районных (городских)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pPr>
        <w:pStyle w:val="style22"/>
        <w:rPr/>
      </w:pPr>
      <w:bookmarkStart w:id="593" w:name="Lbl4712"/>
      <w:bookmarkEnd w:id="593"/>
      <w:r>
        <w:rPr>
          <w:rStyle w:val="style18"/>
        </w:rPr>
        <w:t>12.</w:t>
      </w:r>
      <w:r>
        <w:rPr/>
        <w:t xml:space="preserve">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и кандидатом, избирательным объединением, до предоставления эфирного времени, печатной площади.</w:t>
      </w:r>
    </w:p>
    <w:p>
      <w:pPr>
        <w:pStyle w:val="style22"/>
        <w:rPr/>
      </w:pPr>
      <w:bookmarkStart w:id="594" w:name="Lbl4713"/>
      <w:bookmarkEnd w:id="594"/>
      <w:r>
        <w:rPr>
          <w:rStyle w:val="style18"/>
        </w:rPr>
        <w:t>13.</w:t>
      </w:r>
      <w:r>
        <w:rPr/>
        <w:t xml:space="preserve"> В случае одновременного проведения на одной и той же территории нескольких избирательных кампаний и совпадения в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разных выборов,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pPr>
        <w:pStyle w:val="style22"/>
        <w:rPr/>
      </w:pPr>
      <w:bookmarkStart w:id="595" w:name="Lbl4714"/>
      <w:bookmarkEnd w:id="595"/>
      <w:r>
        <w:rPr>
          <w:rStyle w:val="style18"/>
        </w:rPr>
        <w:t>14.</w:t>
      </w:r>
      <w:r>
        <w:rPr/>
        <w:t xml:space="preserve">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 избирательное объединение выдвигало кандидатов только по одномандатным (многомандатным) избирательным округам.</w:t>
      </w:r>
    </w:p>
    <w:p>
      <w:pPr>
        <w:pStyle w:val="style47"/>
        <w:rPr/>
      </w:pPr>
      <w:bookmarkStart w:id="596" w:name="Lbl48"/>
      <w:bookmarkEnd w:id="596"/>
      <w:r>
        <w:rPr/>
        <w:t>Статья 48</w:t>
      </w:r>
    </w:p>
    <w:p>
      <w:pPr>
        <w:pStyle w:val="style46"/>
        <w:rPr/>
      </w:pPr>
      <w:r>
        <w:rPr>
          <w:rStyle w:val="style18"/>
        </w:rPr>
        <w:t>Статья 48.</w:t>
      </w:r>
      <w:r>
        <w:rPr/>
        <w:t xml:space="preserve"> Условия проведения предвыборной агитации на каналах организаций телерадиовещания</w:t>
      </w:r>
    </w:p>
    <w:p>
      <w:pPr>
        <w:pStyle w:val="style22"/>
        <w:rPr/>
      </w:pPr>
      <w:bookmarkStart w:id="597" w:name="Lbl481"/>
      <w:bookmarkEnd w:id="597"/>
      <w:r>
        <w:rPr>
          <w:rStyle w:val="style18"/>
        </w:rPr>
        <w:t>1.</w:t>
      </w:r>
      <w:r>
        <w:rPr/>
        <w:t xml:space="preserve"> Бесплатное эфирное время на каналах муниципальных организаций телерадиовещания, передачи которых транслируются на территории, на которой проводятся выборы, предоставляется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p>
    <w:p>
      <w:pPr>
        <w:pStyle w:val="style22"/>
        <w:rPr/>
      </w:pPr>
      <w:bookmarkStart w:id="598" w:name="Lbl482"/>
      <w:bookmarkEnd w:id="598"/>
      <w:r>
        <w:rPr>
          <w:rStyle w:val="style18"/>
        </w:rPr>
        <w:t>2.</w:t>
      </w:r>
      <w:r>
        <w:rPr/>
        <w:t xml:space="preserve"> Муниципальные организации телерадиовещания обязаны предоставлять эфирное время, указанное в </w:t>
      </w:r>
      <w:hyperlink w:anchor="Lbl481">
        <w:r>
          <w:rPr>
            <w:rStyle w:val="style17"/>
          </w:rPr>
          <w:t>части 1</w:t>
        </w:r>
      </w:hyperlink>
      <w:r>
        <w:rPr/>
        <w:t xml:space="preserve"> настоящей статьи, зарегистрированным кандидатам, избирательным объединениям, зарегистрировавшим списки кандидатов, для проведения предвыборной агитации на выборах депутатов представительных органов муниципального образования. Предоставляемое эфирное время, указанное в </w:t>
      </w:r>
      <w:hyperlink w:anchor="Lbl481">
        <w:r>
          <w:rPr>
            <w:rStyle w:val="style17"/>
          </w:rPr>
          <w:t>части 1</w:t>
        </w:r>
      </w:hyperlink>
      <w:r>
        <w:rPr/>
        <w:t xml:space="preserve"> настоящей статьи,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style22"/>
        <w:rPr/>
      </w:pPr>
      <w:bookmarkStart w:id="599" w:name="Lbl483"/>
      <w:bookmarkEnd w:id="599"/>
      <w:r>
        <w:rPr>
          <w:rStyle w:val="style18"/>
        </w:rPr>
        <w:t>3.</w:t>
      </w:r>
      <w:r>
        <w:rPr/>
        <w:t xml:space="preserve"> Общий объем эфирного времени, указанного в </w:t>
      </w:r>
      <w:hyperlink w:anchor="Lbl481">
        <w:r>
          <w:rPr>
            <w:rStyle w:val="style17"/>
          </w:rPr>
          <w:t>части 1</w:t>
        </w:r>
      </w:hyperlink>
      <w:r>
        <w:rPr/>
        <w:t xml:space="preserve"> настоящей статьи,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эфирного времени, указанного в </w:t>
      </w:r>
      <w:hyperlink w:anchor="Lbl481">
        <w:r>
          <w:rPr>
            <w:rStyle w:val="style17"/>
          </w:rPr>
          <w:t>части 1</w:t>
        </w:r>
      </w:hyperlink>
      <w:r>
        <w:rPr/>
        <w:t xml:space="preserve"> настоящей статьи, на каждого зарегистрированного кандидата, каждое избирательное объединение, выдвинувшее зарегистрированный муниципальный список кандидатов, придется более 60 минут эфирного времени, указанного в </w:t>
      </w:r>
      <w:hyperlink w:anchor="Lbl481">
        <w:r>
          <w:rPr>
            <w:rStyle w:val="style17"/>
          </w:rPr>
          <w:t>части 1</w:t>
        </w:r>
      </w:hyperlink>
      <w:r>
        <w:rPr/>
        <w:t xml:space="preserve"> настоящей статьи, общий объем эфирного времени, указанного в </w:t>
      </w:r>
      <w:hyperlink w:anchor="Lbl481">
        <w:r>
          <w:rPr>
            <w:rStyle w:val="style17"/>
          </w:rPr>
          <w:t>части 1</w:t>
        </w:r>
      </w:hyperlink>
      <w:r>
        <w:rPr/>
        <w:t xml:space="preserve"> настоящей статьи, которое каждая из организаций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муниципальные списки кандидатов.</w:t>
      </w:r>
    </w:p>
    <w:p>
      <w:pPr>
        <w:pStyle w:val="style22"/>
        <w:rPr/>
      </w:pPr>
      <w:r>
        <w:rPr/>
        <w:t xml:space="preserve">Общий объем эфирного времени, указанного в </w:t>
      </w:r>
      <w:hyperlink w:anchor="Lbl481">
        <w:r>
          <w:rPr>
            <w:rStyle w:val="style17"/>
          </w:rPr>
          <w:t>части 1</w:t>
        </w:r>
      </w:hyperlink>
      <w:r>
        <w:rPr/>
        <w:t xml:space="preserve"> настоящей статьи, которое каждая из муниципальных организаций телерадиовещания предоставляет на каждом из своих каналов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должен составлять не менее 20 минут по рабочим дням, а в случае, если общее время вещания организации телерадиовещания составляет менее двух часов в день, — не менее одной четвертой части общего времени вещания.</w:t>
      </w:r>
    </w:p>
    <w:p>
      <w:pPr>
        <w:pStyle w:val="style22"/>
        <w:rPr/>
      </w:pPr>
      <w:r>
        <w:rPr/>
        <w:t>Если представительный орган муниципального образования формируется по мажоритарной или пропорциональной избирательной системе, то каждый зарегистрированный кандидат или каждое избирательное объединение, зарегистрировавшее муниципальный список кандидатов, вправе получить эфирное время из общего объема эфирного времени, указанного в части 1 настоящей статьи, в пределах доли, полученной в результате деления этого объема соответственно на число зарегистрированных кандидатов или указанных избирательных объединений.</w:t>
      </w:r>
    </w:p>
    <w:p>
      <w:pPr>
        <w:pStyle w:val="style22"/>
        <w:rPr/>
      </w:pPr>
      <w:r>
        <w:rPr/>
        <w:t xml:space="preserve">Если представительный орган муниципального образования формируется по смешанной избирательной системе, то половина общего объема эфирного времени, указанного в </w:t>
      </w:r>
      <w:hyperlink w:anchor="Lbl481">
        <w:r>
          <w:rPr>
            <w:rStyle w:val="style17"/>
          </w:rPr>
          <w:t>части 1</w:t>
        </w:r>
      </w:hyperlink>
      <w:r>
        <w:rPr/>
        <w:t xml:space="preserve"> настоящей статьи, предоставляется каждой муниципальной организацией телерадиовещания зарегистрированным по одномандатным (многомандатным) избирательным округам кандидатам, другая половина — избирательным объединениям, зарегистрировавшим списки кандидатов. При этом каждый зарегистрированный кандидат, каждое избирательное объединение, зарегистрировавшее список кандидатов, вправе получить эфирное время в пределах доли, полученной в результате деления половины общего объема эфирного времени, указанного в </w:t>
      </w:r>
      <w:hyperlink w:anchor="Lbl481">
        <w:r>
          <w:rPr>
            <w:rStyle w:val="style17"/>
          </w:rPr>
          <w:t>части 1</w:t>
        </w:r>
      </w:hyperlink>
      <w:r>
        <w:rPr/>
        <w:t xml:space="preserve"> настоящей статьи, соответственно на число зарегистрированных кандидатов или указанных избирательных объединений.</w:t>
      </w:r>
    </w:p>
    <w:p>
      <w:pPr>
        <w:pStyle w:val="style22"/>
        <w:rPr/>
      </w:pPr>
      <w:bookmarkStart w:id="600" w:name="Lbl484"/>
      <w:bookmarkEnd w:id="600"/>
      <w:r>
        <w:rPr>
          <w:rStyle w:val="style18"/>
        </w:rPr>
        <w:t>4.</w:t>
      </w:r>
      <w:r>
        <w:rPr/>
        <w:t xml:space="preserve"> Не менее половины общего объема эфирного времени, указанного в </w:t>
      </w:r>
      <w:hyperlink w:anchor="Lbl481">
        <w:r>
          <w:rPr>
            <w:rStyle w:val="style17"/>
          </w:rPr>
          <w:t>части 1</w:t>
        </w:r>
      </w:hyperlink>
      <w:r>
        <w:rP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если на каждого зарегистрированного по одномандатному (многомандатному) избирательному округу кандидата приходится менее пяти минут из общего объема эфирного времени, указанного в </w:t>
      </w:r>
      <w:hyperlink w:anchor="Lbl481">
        <w:r>
          <w:rPr>
            <w:rStyle w:val="style17"/>
          </w:rPr>
          <w:t>части 1</w:t>
        </w:r>
      </w:hyperlink>
      <w:r>
        <w:rPr/>
        <w:t xml:space="preserve"> настоящей статьи. В совместных агитационных мероприятиях на каналах организаций телерадиовещания зарегистрированные кандидаты (в том числе из списка кандидатов) могут участвовать только лично. Расчет и предоставление эфирного времени, отводимого для проведения совместных агитационных мероприятий, осуществляются раздельно для зарегистрированных кандидатов, избирательных объединений, зарегистрировавших списки кандидатов.</w:t>
      </w:r>
    </w:p>
    <w:p>
      <w:pPr>
        <w:pStyle w:val="style22"/>
        <w:rPr/>
      </w:pPr>
      <w:bookmarkStart w:id="601" w:name="Lbl485"/>
      <w:bookmarkEnd w:id="601"/>
      <w:r>
        <w:rPr>
          <w:rStyle w:val="style18"/>
        </w:rPr>
        <w:t>5.</w:t>
      </w:r>
      <w:r>
        <w:rPr/>
        <w:t xml:space="preserve"> Зарегистрированный кандидат, избирательное объединение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в том числе в случае, если в указанном мероприятии может принять участие только один участник, не уменьшается. Отказ от участия в совместном агитационном мероприятии не влечет за собой увеличение объема эфирного времени, указанного в </w:t>
      </w:r>
      <w:hyperlink w:anchor="Lbl481">
        <w:r>
          <w:rPr>
            <w:rStyle w:val="style17"/>
          </w:rPr>
          <w:t>части 1</w:t>
        </w:r>
      </w:hyperlink>
      <w:r>
        <w:rPr/>
        <w:t xml:space="preserve"> настоящей статьи, предоставляемого зарегистрированному кандидату, избирательному объединению, отказавшимся от участия в указанном мероприятии.</w:t>
      </w:r>
    </w:p>
    <w:p>
      <w:pPr>
        <w:pStyle w:val="style22"/>
        <w:rPr/>
      </w:pPr>
      <w:bookmarkStart w:id="602" w:name="Lbl486"/>
      <w:bookmarkEnd w:id="602"/>
      <w:r>
        <w:rPr>
          <w:rStyle w:val="style18"/>
        </w:rPr>
        <w:t>6.</w:t>
      </w:r>
      <w:r>
        <w:rPr/>
        <w:t xml:space="preserve"> Оставшаяся часть общего объема эфирного времени (при ее наличии), указанного в </w:t>
      </w:r>
      <w:hyperlink w:anchor="Lbl481">
        <w:r>
          <w:rPr>
            <w:rStyle w:val="style17"/>
          </w:rPr>
          <w:t>части 1</w:t>
        </w:r>
      </w:hyperlink>
      <w:r>
        <w:rPr/>
        <w:t xml:space="preserve"> настоящей статьи, предоставляется муниципальными организациями телерадиовещания зарегистрированным кандидатам, избирательным объединениям для размещения агитационных материалов с соблюдением требований, установленных </w:t>
      </w:r>
      <w:hyperlink w:anchor="Lbl483">
        <w:r>
          <w:rPr>
            <w:rStyle w:val="style17"/>
          </w:rPr>
          <w:t>частью 3</w:t>
        </w:r>
      </w:hyperlink>
      <w:r>
        <w:rPr/>
        <w:t xml:space="preserve"> настоящей статьи.</w:t>
      </w:r>
    </w:p>
    <w:p>
      <w:pPr>
        <w:pStyle w:val="style22"/>
        <w:rPr/>
      </w:pPr>
      <w:bookmarkStart w:id="603" w:name="Lbl487"/>
      <w:bookmarkEnd w:id="603"/>
      <w:r>
        <w:rPr>
          <w:rStyle w:val="style18"/>
        </w:rPr>
        <w:t>7.</w:t>
      </w:r>
      <w:r>
        <w:rPr/>
        <w:t xml:space="preserve"> Избирательная комиссия муниципального образования для определения даты и времени выхода в эфир на безвозмездной основе предвыборных агитационных материалов зарегистрированных кандидатов, избирательных объединений, выдвинувших зарегистрированные списки кандидатов, совместных агитационных мероприятий с участием соответствующих организаций телерадиовещания проводит жеребьевку. Жеребьевка проводится по завершении регистрации кандидатов, списков кандидатов, но не позднее чем за 30 дней до дня голосования. При проведении жеребьевки вправе присутствовать лица, указанные в </w:t>
      </w:r>
      <w:hyperlink w:anchor="Lbl211">
        <w:r>
          <w:rPr>
            <w:rStyle w:val="style17"/>
          </w:rPr>
          <w:t>части 1 статьи 21</w:t>
        </w:r>
      </w:hyperlink>
      <w:r>
        <w:rPr/>
        <w:t xml:space="preserve"> настоящего Закона. Результаты жеребьевки оформляются протоколом. Определенный в результате жеребьевки график распределения эфирного времени публикуется в муниципальных периодических печатных изданиях, а в случае отсутствия их на территории проведения выборов — в районных (городских) периодических печатных изданиях.</w:t>
      </w:r>
    </w:p>
    <w:p>
      <w:pPr>
        <w:pStyle w:val="style22"/>
        <w:rPr/>
      </w:pPr>
      <w:bookmarkStart w:id="604" w:name="Lbl488"/>
      <w:bookmarkEnd w:id="604"/>
      <w:r>
        <w:rPr>
          <w:rStyle w:val="style18"/>
        </w:rPr>
        <w:t>8.</w:t>
      </w:r>
      <w:r>
        <w:rPr/>
        <w:t xml:space="preserve"> Муниципальные организации телерадиовещания обязаны резервировать платное эфирное время для проведения предвыборной агитации. Размер и условия оплаты должны быть едиными для всех зарегистрированных кандидатов, избирательных объединений, зарегистрировавших списки кандидатов. Общий объем резервируемого эфирного времени должен быть равен установленному общему объему эфирного времени, указанного в </w:t>
      </w:r>
      <w:hyperlink w:anchor="Lbl481">
        <w:r>
          <w:rPr>
            <w:rStyle w:val="style17"/>
          </w:rPr>
          <w:t>части 1</w:t>
        </w:r>
      </w:hyperlink>
      <w:r>
        <w:rPr/>
        <w:t xml:space="preserve"> настоящей статьи, или превышать его, но не более чем в два раза.</w:t>
      </w:r>
    </w:p>
    <w:p>
      <w:pPr>
        <w:pStyle w:val="style22"/>
        <w:rPr/>
      </w:pPr>
      <w:r>
        <w:rPr/>
        <w:t>Если представительный орган муниципального образования формируется по мажоритарной или пропорциональной избирательной системе, то каждый зарегистрированный кандидат или каждое избирательное объединение, зарегистрировавшее список кандидатов, вправе получить платное эфирное время из общего объема резервируемого эфирного времени в пределах доли, полученной в результате деления этого объема соответственно на число зарегистрированных кандидатов или указанных избирательных объединений.</w:t>
      </w:r>
    </w:p>
    <w:p>
      <w:pPr>
        <w:pStyle w:val="style22"/>
        <w:rPr/>
      </w:pPr>
      <w:r>
        <w:rPr/>
        <w:t>Если представительный орган муниципального образования формируется по смешанной избирательной системе, половина общего объема платного эфирного времени резервируется каждой муниципальной организацией телерадиовещания для зарегистрированных по одномандатным (многомандатным) избирательным округам кандидатов, другая половина — для избирательных объединений, зарегистрировавших списки кандидатов. При этом каждый зарегистрированный кандидат, каждое избирательное объединение, зарегистрировавшее список кандидатов, вправе за соответствующую плату получить эфирное время в пределах доли, полученной в результате деления половины общего объема резервируемого эфирного времени соответственно на число зарегистрированных кандидатов или указанных избирательных объединений.</w:t>
      </w:r>
    </w:p>
    <w:p>
      <w:pPr>
        <w:pStyle w:val="style22"/>
        <w:rPr/>
      </w:pPr>
      <w:bookmarkStart w:id="605" w:name="Lbl489"/>
      <w:bookmarkEnd w:id="605"/>
      <w:r>
        <w:rPr>
          <w:rStyle w:val="style18"/>
        </w:rPr>
        <w:t>9.</w:t>
      </w:r>
      <w:r>
        <w:rPr/>
        <w:t xml:space="preserve"> Государственные организации телерадиовещания, выполнившие условия </w:t>
      </w:r>
      <w:hyperlink w:anchor="Lbl477">
        <w:r>
          <w:rPr>
            <w:rStyle w:val="style17"/>
          </w:rPr>
          <w:t>части 7 статьи 47</w:t>
        </w:r>
      </w:hyperlink>
      <w:r>
        <w:rPr/>
        <w:t xml:space="preserve"> настоящего Закона, вправе предоставлять платное эфирное время зарегистрированным кандидатам, избирательным объединениям, зарегистрировавшим муниципальные списки кандидатов. Размер и условия оплаты эфирного времени должны быть едиными для всех зарегистрированных кандидатов, указанных избирательных объединений. Общий объем эфирного времени, предоставляемый зарегистрированным кандидатам, указанным избирательным объединениям, государственной организацией телерадиовещания, определяется этой организацией телерадиовещания.</w:t>
      </w:r>
    </w:p>
    <w:p>
      <w:pPr>
        <w:pStyle w:val="style22"/>
        <w:rPr/>
      </w:pPr>
      <w:r>
        <w:rPr/>
        <w:t>Если представительный орган муниципального образования формируется по мажоритарной или пропорциональной избирательной системе, то каждый зарегистрированный кандидат или каждое избирательное объединение, зарегистрировавшее список кандидатов, вправе получить платное эфирное время из общего объема эфирного времени в пределах доли, полученной в результате деления этого объема соответственно на число зарегистрированных кандидатов или указанных избирательных объединений.</w:t>
      </w:r>
    </w:p>
    <w:p>
      <w:pPr>
        <w:pStyle w:val="style22"/>
        <w:rPr/>
      </w:pPr>
      <w:r>
        <w:rPr/>
        <w:t>Если представительный орган муниципального образования формируется по смешанной избирательной системе, половина общего объема платного эфирного времени резервируется каждой государственной организацией телерадиовещания для зарегистрированных по одномандатным (многомандатным) избирательным округам кандидатов, другая половина — для избирательных объединений, зарегистрировавших списки кандидатов. При этом каждый зарегистрированный кандидат, избирательное объединение, зарегистрировавшее список кандидатов, вправе за соответствующую плату получить эфирное время в пределах доли, полученной в результате деления половины общего объема эфирного времени соответственно на число зарегистрированных кандидатов или указанных избирательных объединений.</w:t>
      </w:r>
    </w:p>
    <w:p>
      <w:pPr>
        <w:pStyle w:val="style22"/>
        <w:rPr/>
      </w:pPr>
      <w:bookmarkStart w:id="606" w:name="Lbl4810"/>
      <w:bookmarkEnd w:id="606"/>
      <w:r>
        <w:rPr>
          <w:rStyle w:val="style18"/>
        </w:rPr>
        <w:t>10.</w:t>
      </w:r>
      <w:r>
        <w:rPr/>
        <w:t xml:space="preserve"> Платное эфирное время предоставляется муниципальными и государственными организациями телерадиовещания в период, установленный </w:t>
      </w:r>
      <w:hyperlink w:anchor="Lbl462">
        <w:r>
          <w:rPr>
            <w:rStyle w:val="style17"/>
          </w:rPr>
          <w:t>частью 2 статьи 46</w:t>
        </w:r>
      </w:hyperlink>
      <w:r>
        <w:rPr/>
        <w:t xml:space="preserve"> настоящего Закона. Дата и время выхода в эфир предвыборных агитационных материалов зарегистрированных кандидатов, избирательных объединений определяются в соответствии с жеребьевкой, которую проводит не позднее чем за 30 дней до дня голосования соответствующая организация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избирательными объединениями. При проведении жеребьевки вправе присутствовать лица, указанные в </w:t>
      </w:r>
      <w:hyperlink w:anchor="Lbl211">
        <w:r>
          <w:rPr>
            <w:rStyle w:val="style17"/>
          </w:rPr>
          <w:t>части 1 статьи 21</w:t>
        </w:r>
      </w:hyperlink>
      <w:r>
        <w:rPr/>
        <w:t xml:space="preserve"> настоящего Закона. Результаты жеребьевки оформляются протоколом.</w:t>
      </w:r>
    </w:p>
    <w:p>
      <w:pPr>
        <w:pStyle w:val="style22"/>
        <w:rPr/>
      </w:pPr>
      <w:bookmarkStart w:id="607" w:name="Lbl4811"/>
      <w:bookmarkEnd w:id="607"/>
      <w:r>
        <w:rPr>
          <w:rStyle w:val="style18"/>
        </w:rPr>
        <w:t>11.</w:t>
      </w:r>
      <w:r>
        <w:rPr/>
        <w:t xml:space="preserve"> Если зарегистрированный кандидат, избирательное объединение откажутся от использования предоставленного им для проведения предвыборной агитации платного эфирного времени, они обязаны не позднее чем за пять дней до выхода агитационного материала в эфир, а если выход материала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за исключением целей предвыборной агитации. Если после распределения платного эфирного времени либо в результате отказа зарегистрированного кандидата, избирательного объединения в соответствии с настоящей частью от использования предоставленного им эфирного времени останется нераспределенное эфирное время, оно может быть предоставлено за плату соответственно зарегистрированным кандидатам, избирательным объединениям, подавшим заявку на предоставление такого эфирного времени, на равных условиях.</w:t>
      </w:r>
    </w:p>
    <w:p>
      <w:pPr>
        <w:pStyle w:val="style22"/>
        <w:rPr/>
      </w:pPr>
      <w:bookmarkStart w:id="608" w:name="Lbl4812"/>
      <w:bookmarkEnd w:id="608"/>
      <w:r>
        <w:rPr>
          <w:rStyle w:val="style18"/>
        </w:rPr>
        <w:t>12.</w:t>
      </w:r>
      <w:r>
        <w:rPr/>
        <w:t xml:space="preserve"> Негосударственные организации телерадиовещания, выполнившие условия </w:t>
      </w:r>
      <w:hyperlink w:anchor="Lbl477">
        <w:r>
          <w:rPr>
            <w:rStyle w:val="style17"/>
          </w:rPr>
          <w:t>части 7 статьи 47</w:t>
        </w:r>
      </w:hyperlink>
      <w:r>
        <w:rPr/>
        <w:t xml:space="preserve"> настоящего Закона, обязаны предоставлять эфирное время зарегистрированным кандидатам, избирательным объединениям, зарегистрировавшим муниципальные списки кандидатов, на равных условиях (в том числе по времени выхода в эфир).</w:t>
      </w:r>
    </w:p>
    <w:p>
      <w:pPr>
        <w:pStyle w:val="style22"/>
        <w:rPr/>
      </w:pPr>
      <w:bookmarkStart w:id="609" w:name="Lbl4813"/>
      <w:bookmarkEnd w:id="609"/>
      <w:r>
        <w:rPr>
          <w:rStyle w:val="style18"/>
        </w:rPr>
        <w:t>13.</w:t>
      </w:r>
      <w:r>
        <w:rPr/>
        <w:t xml:space="preserve">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pPr>
        <w:pStyle w:val="style22"/>
        <w:rPr/>
      </w:pPr>
      <w:bookmarkStart w:id="610" w:name="Lbl4814"/>
      <w:bookmarkEnd w:id="610"/>
      <w:r>
        <w:rPr>
          <w:rStyle w:val="style18"/>
        </w:rPr>
        <w:t>14.</w:t>
      </w:r>
      <w:r>
        <w:rPr/>
        <w:t xml:space="preserve"> Платежное поручение филиалу Сберегательного банка Российской Федерации о перечислении средств в оплату стоимости эфирного времени в полном объеме должно быть представлено зарегистрированным кандидатом, избирательным объединением, выдвинувшим зарегистрированный муниципальный список кандидатов, не позднее чем за два дня до дня предоставления эфирного времени. В случае нарушения указанного условия предоставление эфирного времени на каналах организаций телерадиовещания не допускается.</w:t>
      </w:r>
    </w:p>
    <w:p>
      <w:pPr>
        <w:pStyle w:val="style22"/>
        <w:rPr/>
      </w:pPr>
      <w:bookmarkStart w:id="611" w:name="Lbl4815"/>
      <w:bookmarkEnd w:id="611"/>
      <w:r>
        <w:rPr>
          <w:rStyle w:val="style18"/>
        </w:rPr>
        <w:t>15.</w:t>
      </w:r>
      <w:r>
        <w:rPr/>
        <w:t xml:space="preserve"> В случае, если в ходе использования платного эфирного времени зарегистрированный кандидат, избирательное объединение, выдвинувшее зарегистрированный муниципальный список кандидатов, нарушит условия, установленные настоящим Законом, организация телерадиовещания вправе обратиться в суд с требованием о расторжении договора на предоставление эфирного времени. В случае расторжения договора организация телерадиовещания не вправе использовать высвободившееся эфирное время для целей предвыборной агитации.</w:t>
      </w:r>
    </w:p>
    <w:p>
      <w:pPr>
        <w:pStyle w:val="style22"/>
        <w:rPr/>
      </w:pPr>
      <w:bookmarkStart w:id="612" w:name="Lbl4816"/>
      <w:bookmarkEnd w:id="612"/>
      <w:r>
        <w:rPr>
          <w:rStyle w:val="style18"/>
        </w:rPr>
        <w:t>16.</w:t>
      </w:r>
      <w:r>
        <w:rPr/>
        <w:t xml:space="preserve">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выборов депутатов представительного органа муниципального образования. Организации телерадиовещания обязаны безвозмездно предоставлять копии указанных теле- и радиопрограмм по требованию избирательных комиссий.</w:t>
      </w:r>
    </w:p>
    <w:p>
      <w:pPr>
        <w:pStyle w:val="style47"/>
        <w:rPr/>
      </w:pPr>
      <w:bookmarkStart w:id="613" w:name="Lbl49"/>
      <w:bookmarkEnd w:id="613"/>
      <w:r>
        <w:rPr/>
        <w:t>Статья 49</w:t>
      </w:r>
    </w:p>
    <w:p>
      <w:pPr>
        <w:pStyle w:val="style46"/>
        <w:rPr/>
      </w:pPr>
      <w:r>
        <w:rPr>
          <w:rStyle w:val="style18"/>
        </w:rPr>
        <w:t>Статья 49.</w:t>
      </w:r>
      <w:r>
        <w:rPr/>
        <w:t xml:space="preserve"> Условия проведения предвыборной агитации в периодических печатных изданиях</w:t>
      </w:r>
    </w:p>
    <w:p>
      <w:pPr>
        <w:pStyle w:val="style22"/>
        <w:rPr/>
      </w:pPr>
      <w:bookmarkStart w:id="614" w:name="Lbl491"/>
      <w:bookmarkEnd w:id="614"/>
      <w:r>
        <w:rPr>
          <w:rStyle w:val="style18"/>
        </w:rPr>
        <w:t>1.</w:t>
      </w:r>
      <w:r>
        <w:rPr/>
        <w:t xml:space="preserve"> Редакции муниципальных периодических печатных изданий, распространяемых на территории муниципального образования, на которой проводятся выборы, и выходящих не реже одного раза в неделю, обязаны выделять безвозмездно печатные площади для агитационных материалов, предоставляемых зарегистрированными кандидатами, избирательными объединениями, зарегистрировавшими муниципальные списки кандидатов, на равных условиях (объем предоставляемой печатной площади, место на полосе, шрифт и другие условия).</w:t>
      </w:r>
    </w:p>
    <w:p>
      <w:pPr>
        <w:pStyle w:val="style22"/>
        <w:rPr/>
      </w:pPr>
      <w:r>
        <w:rPr/>
        <w:t>Общий еженедельный минимальный объем печатной площади, которую каждая из редакций безвозмездно предоставляет соответственно зарегистрированным кандидатам, избирательным объединениям, выдвинувшим зарегистрированные муниципальные списки кандидатов, должен составлять не менее десяти процентов от общего объема еженедельной печатной площади соответствующего издания, распределенной между зарегистрированными кандидатами, указанными избирательными объединениями путем деления общего объема выделяемой печатной площади на общее число зарегистрированных кандидатов, указанных избирательных объединений, имеющих право на безвозмездную публикацию предвыборных агитационных материалов в данном периодическом печатном издании.</w:t>
      </w:r>
    </w:p>
    <w:p>
      <w:pPr>
        <w:pStyle w:val="style22"/>
        <w:rPr/>
      </w:pPr>
      <w:r>
        <w:rPr/>
        <w:t>Общий еженедельный минимальный объем бесплатной печатной площади, которую каждая из редакций муниципальных периодических печатных изданий предоставляет зарегистрированным кандидатам, избирательным объединениям, зарегистрировавшим списки кандидатов, на дополнительных или повторных выборах депутата (депутатов) представительного органа муниципального образования, должен составлять не менее пяти процентов.</w:t>
      </w:r>
    </w:p>
    <w:p>
      <w:pPr>
        <w:pStyle w:val="style22"/>
        <w:rPr/>
      </w:pPr>
      <w:r>
        <w:rPr/>
        <w:t>В случае отсутствия на территории проведения выборов муниципальных периодических печатных изданий бесплатная и платная печатная площадь зарегистрированным кандидатам, избирательным объединениям, зарегистрировавшим списки кандидатов, предоставляется редакциями районных (городских) периодических печатных изданий, выходящих не реже одного раза в неделю, в порядке и на условиях, предусмотренных настоящей статьей.</w:t>
      </w:r>
    </w:p>
    <w:p>
      <w:pPr>
        <w:pStyle w:val="style22"/>
        <w:rPr/>
      </w:pPr>
      <w:bookmarkStart w:id="615" w:name="Lbl492"/>
      <w:bookmarkEnd w:id="615"/>
      <w:r>
        <w:rPr>
          <w:rStyle w:val="style18"/>
        </w:rPr>
        <w:t>2.</w:t>
      </w:r>
      <w:r>
        <w:rPr/>
        <w:t xml:space="preserve"> Печатная площадь, указанная в </w:t>
      </w:r>
      <w:hyperlink w:anchor="Lbl491">
        <w:r>
          <w:rPr>
            <w:rStyle w:val="style17"/>
          </w:rPr>
          <w:t>части 1</w:t>
        </w:r>
      </w:hyperlink>
      <w:r>
        <w:rPr/>
        <w:t xml:space="preserve"> настоящей статьи, должна предоставляться редакциями муниципальных периодических изданий зарегистрированным кандидатам, избирательным объединениям, зарегистрировавшим списки кандидатов, с соблюдением следующих условий: равный объем предоставляемой печатной площади, одинаковое место на полосе, одинаковый размер шрифта и иные равные условия.</w:t>
      </w:r>
    </w:p>
    <w:p>
      <w:pPr>
        <w:pStyle w:val="style22"/>
        <w:rPr/>
      </w:pPr>
      <w:bookmarkStart w:id="616" w:name="Lbl493"/>
      <w:bookmarkEnd w:id="616"/>
      <w:r>
        <w:rPr>
          <w:rStyle w:val="style18"/>
        </w:rPr>
        <w:t>3.</w:t>
      </w:r>
      <w:r>
        <w:rPr/>
        <w:t xml:space="preserve"> Информация об общем объеме печатной площади, указанной в </w:t>
      </w:r>
      <w:hyperlink w:anchor="Lbl491">
        <w:r>
          <w:rPr>
            <w:rStyle w:val="style17"/>
          </w:rPr>
          <w:t>части 1</w:t>
        </w:r>
      </w:hyperlink>
      <w:r>
        <w:rPr/>
        <w:t xml:space="preserve"> настоящей статьи, предоставляемой редакцией муниципального периодического печатного издания для агитационных материалов зарегистрированных кандидатов, избирательных объединений, зарегистрировавших списки кандидатов, публикуется в данном издании не позднее чем через 30 дней после официального опубликования решения о назначении выборов.</w:t>
      </w:r>
    </w:p>
    <w:p>
      <w:pPr>
        <w:pStyle w:val="style22"/>
        <w:rPr/>
      </w:pPr>
      <w:bookmarkStart w:id="617" w:name="Lbl494"/>
      <w:bookmarkEnd w:id="617"/>
      <w:r>
        <w:rPr>
          <w:rStyle w:val="style18"/>
        </w:rPr>
        <w:t>4.</w:t>
      </w:r>
      <w:r>
        <w:rPr/>
        <w:t xml:space="preserve"> Если представительный орган муниципального образования формируется по мажоритарной или пропорциональной избирательной системе, то каждый зарегистрированный кандидат или каждое избирательное объединение, зарегистрировавшее список кандидатов, вправе получить из общего объема печатной площади, указанной в </w:t>
      </w:r>
      <w:hyperlink w:anchor="Lbl491">
        <w:r>
          <w:rPr>
            <w:rStyle w:val="style17"/>
          </w:rPr>
          <w:t>части 1</w:t>
        </w:r>
      </w:hyperlink>
      <w:r>
        <w:rPr/>
        <w:t xml:space="preserve"> настоящей статьи, печатную площадь в пределах доли, полученной в результате деления этого объема соответственно на число зарегистрированных кандидатов или указанных избирательных объединений.</w:t>
      </w:r>
    </w:p>
    <w:p>
      <w:pPr>
        <w:pStyle w:val="style22"/>
        <w:rPr/>
      </w:pPr>
      <w:r>
        <w:rPr/>
        <w:t xml:space="preserve">Если представительный орган муниципального образования формируется по смешанной избирательной системе, то половина общего объема печатной площади, указанной в </w:t>
      </w:r>
      <w:hyperlink w:anchor="Lbl491">
        <w:r>
          <w:rPr>
            <w:rStyle w:val="style17"/>
          </w:rPr>
          <w:t>части 1</w:t>
        </w:r>
      </w:hyperlink>
      <w:r>
        <w:rPr/>
        <w:t xml:space="preserve"> настоящей статьи, предоставляется редакцией каждого муниципального периодического печатного издания избирательным объединениям, другая половина — зарегистрированным по одномандатным (многомандатным) избирательным округам кандидатам. При этом каждый зарегистрированный кандидат, каждое избирательное объединение, зарегистрировавшее список кандидатов, вправе получить печатную площадь в пределах доли, полученной в результате деления половины общего объема печатной площади, указанной в </w:t>
      </w:r>
      <w:hyperlink w:anchor="Lbl491">
        <w:r>
          <w:rPr>
            <w:rStyle w:val="style17"/>
          </w:rPr>
          <w:t>части 1</w:t>
        </w:r>
      </w:hyperlink>
      <w:r>
        <w:rPr/>
        <w:t xml:space="preserve"> настоящей статьи, соответственно на число зарегистрированных кандидатов или указанных избирательных объединений.</w:t>
      </w:r>
    </w:p>
    <w:p>
      <w:pPr>
        <w:pStyle w:val="style22"/>
        <w:rPr/>
      </w:pPr>
      <w:bookmarkStart w:id="618" w:name="Lbl495"/>
      <w:bookmarkEnd w:id="618"/>
      <w:r>
        <w:rPr>
          <w:rStyle w:val="style18"/>
        </w:rPr>
        <w:t>5.</w:t>
      </w:r>
      <w:r>
        <w:rPr/>
        <w:t xml:space="preserve"> После завершения регистрации кандидатов, списков кандидатов, но не позднее чем за 30 дней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печатной площади, указанной в </w:t>
      </w:r>
      <w:hyperlink w:anchor="Lbl491">
        <w:r>
          <w:rPr>
            <w:rStyle w:val="style17"/>
          </w:rPr>
          <w:t>части 1</w:t>
        </w:r>
      </w:hyperlink>
      <w:r>
        <w:rPr/>
        <w:t xml:space="preserve"> настоящей статьи, между зарегистрированными кандидатами, избирательными объединениями, зарегистрировавшими списки кандидатов, и установления дат публикаций их предвыборных агитационных материалов. При проведении жеребьевки вправе присутствовать члены соответствующей избирательной комиссии, а также лица, указанные в </w:t>
      </w:r>
      <w:hyperlink w:anchor="Lbl211">
        <w:r>
          <w:rPr>
            <w:rStyle w:val="style17"/>
          </w:rPr>
          <w:t>части 1 статьи 21</w:t>
        </w:r>
      </w:hyperlink>
      <w:r>
        <w:rPr/>
        <w:t xml:space="preserve"> настоящего Закона. Результаты жеребьевки оформляются протоколом.</w:t>
      </w:r>
    </w:p>
    <w:p>
      <w:pPr>
        <w:pStyle w:val="style22"/>
        <w:rPr/>
      </w:pPr>
      <w:bookmarkStart w:id="619" w:name="Lbl496"/>
      <w:bookmarkEnd w:id="619"/>
      <w:r>
        <w:rPr>
          <w:rStyle w:val="style18"/>
        </w:rPr>
        <w:t>6.</w:t>
      </w:r>
      <w:r>
        <w:rPr/>
        <w:t xml:space="preserve"> Редакции муниципальных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зарегистрированными кандидатами, избирательными объединениями, зарегистрировавшими списки кандидатов. Размер и условия оплаты должны быть едиными для всех зарегистрированных кандидатов, избирательных объединений. Общий объем резервируемой платной печатной площади не может быть меньше общего объема бесплатной печатной площади, предоставляемой в соответствии с </w:t>
      </w:r>
      <w:hyperlink w:anchor="Lbl493">
        <w:r>
          <w:rPr>
            <w:rStyle w:val="style17"/>
          </w:rPr>
          <w:t>частью 3</w:t>
        </w:r>
      </w:hyperlink>
      <w:r>
        <w:rPr/>
        <w:t xml:space="preserve"> настоящей статьи, но не должен превышать этот объем более чем в два раза.</w:t>
      </w:r>
    </w:p>
    <w:p>
      <w:pPr>
        <w:pStyle w:val="style22"/>
        <w:rPr/>
      </w:pPr>
      <w:r>
        <w:rPr/>
        <w:t>Если представительный орган муниципального образования формируется по мажоритарной или пропорциональной избирательной системе, то каждый зарегистрированный кандидат или каждое избирательное объединение, зарегистрировавшее список кандидатов, вправе за соответствующую плату получить из общего объема зарезервированной платной печатной площади печатную площадь в пределах доли, полученной в результате деления этого объема соответственно на число зарегистрированных кандидатов или указанных избирательных объединений.</w:t>
      </w:r>
    </w:p>
    <w:p>
      <w:pPr>
        <w:pStyle w:val="style22"/>
        <w:rPr/>
      </w:pPr>
      <w:r>
        <w:rPr/>
        <w:t>Если представительный орган муниципального образования формируется по смешанной избирательной системе, то половина общего объема платной печатной площади резервируется редакцией каждого муниципального периодического печатного издания для избирательных объединений, другая половина — для зарегистрированных по одномандатным (многомандатным) избирательным округам кандидатам. При этом каждый зарегистрированный кандидат, каждое избирательное объединение, зарегистрировавшее список кандидатов, вправе за соответствующую плату получить печатную площадь в пределах доли, полученной в результате деления половины общего объема резервированной печатной площади соответственно на число зарегистрированных кандидатов или указанных избирательных объединений.</w:t>
      </w:r>
    </w:p>
    <w:p>
      <w:pPr>
        <w:pStyle w:val="style22"/>
        <w:rPr/>
      </w:pPr>
      <w:bookmarkStart w:id="620" w:name="Lbl497"/>
      <w:bookmarkEnd w:id="620"/>
      <w:r>
        <w:rPr>
          <w:rStyle w:val="style18"/>
        </w:rPr>
        <w:t>7.</w:t>
      </w:r>
      <w:r>
        <w:rPr/>
        <w:t xml:space="preserve"> Редакции областных периодических печатных изданий, редакции выходящих реже одного раза в неделю муниципальных печатных изданий, выполнившие условия </w:t>
      </w:r>
      <w:hyperlink w:anchor="Lbl477">
        <w:r>
          <w:rPr>
            <w:rStyle w:val="style17"/>
          </w:rPr>
          <w:t>части 7 статьи 47</w:t>
        </w:r>
      </w:hyperlink>
      <w:r>
        <w:rPr/>
        <w:t xml:space="preserve"> настоящего Закона, вправе предоставлять зарегистрированным кандидатам, избирательным объединениям, зарегистрировавшим списки кандидатов, платную печатную площадь. Размер и условия оплаты указанной печатной площади должны быть едиными для всех зарегистрированных кандидатов, указанных избирательных объединений. Общий объем печатной площади, предоставляемой зарегистрированным кандидатам, избирательным объединениям, зарегистрировавшим списки кандидатов, редакциями указанных периодических печатных изданий, определяют сами редакции.</w:t>
      </w:r>
    </w:p>
    <w:p>
      <w:pPr>
        <w:pStyle w:val="style22"/>
        <w:rPr/>
      </w:pPr>
      <w:bookmarkStart w:id="621" w:name="Lbl498"/>
      <w:bookmarkEnd w:id="621"/>
      <w:r>
        <w:rPr>
          <w:rStyle w:val="style18"/>
        </w:rPr>
        <w:t>8.</w:t>
      </w:r>
      <w:r>
        <w:rPr/>
        <w:t xml:space="preserve"> Платная печатная площадь должна предоставляться редакциями муниципальных и областных периодических печатных изданий в период, установленный </w:t>
      </w:r>
      <w:hyperlink w:anchor="Lbl462">
        <w:r>
          <w:rPr>
            <w:rStyle w:val="style17"/>
          </w:rPr>
          <w:t>частью 2 статьи 46</w:t>
        </w:r>
      </w:hyperlink>
      <w:r>
        <w:rPr/>
        <w:t xml:space="preserve"> настоящего Закона. Дата публикации предвыборных агитационных материалов определяется в соответствии с жеребьевкой, проводимой соответствующей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 избирательных объединений, зарегистрировавших списки кандидатов. Жеребьевка проводится в срок, установленный </w:t>
      </w:r>
      <w:hyperlink w:anchor="Lbl495">
        <w:r>
          <w:rPr>
            <w:rStyle w:val="style17"/>
          </w:rPr>
          <w:t>частью 5</w:t>
        </w:r>
      </w:hyperlink>
      <w:r>
        <w:rPr/>
        <w:t xml:space="preserve"> настоящей статьи. При проведении жеребьевки вправе присутствовать лица, указанные в </w:t>
      </w:r>
      <w:hyperlink w:anchor="Lbl211">
        <w:r>
          <w:rPr>
            <w:rStyle w:val="style17"/>
          </w:rPr>
          <w:t>части 1 статьи 21</w:t>
        </w:r>
      </w:hyperlink>
      <w:r>
        <w:rPr/>
        <w:t xml:space="preserve"> настоящего Закона. Результаты жеребьевки оформляются протоколом.</w:t>
      </w:r>
    </w:p>
    <w:p>
      <w:pPr>
        <w:pStyle w:val="style22"/>
        <w:rPr/>
      </w:pPr>
      <w:bookmarkStart w:id="622" w:name="Lbl499"/>
      <w:bookmarkEnd w:id="622"/>
      <w:r>
        <w:rPr>
          <w:rStyle w:val="style18"/>
        </w:rPr>
        <w:t>9.</w:t>
      </w:r>
      <w:r>
        <w:rPr/>
        <w:t xml:space="preserve"> Если зарегистрированный кандидат, избирательное объединение, зарегистрировавшее список кандидатов, откажутся от использования предоставленной им для проведения предвыборной агитации платной или бесплатной печатной площади, они обязаны не позднее чем за пять дней до дня публикации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 Если после распределения платной печатной площади либо в результате отказа зарегистрированного кандидата, избирательного объединения в соответствии с настоящей частью от использования предоставленной им печатной площади останется нераспределенная печатная площадь, она может быть предоставлена за плату зарегистрированным кандидатам, избирательным объединениям, подавшим заявку на предоставление такой печатной площади, на равных условиях.</w:t>
      </w:r>
    </w:p>
    <w:p>
      <w:pPr>
        <w:pStyle w:val="style22"/>
        <w:rPr/>
      </w:pPr>
      <w:bookmarkStart w:id="623" w:name="Lbl4910"/>
      <w:bookmarkEnd w:id="623"/>
      <w:r>
        <w:rPr>
          <w:rStyle w:val="style18"/>
        </w:rPr>
        <w:t>10.</w:t>
      </w:r>
      <w:r>
        <w:rPr/>
        <w:t xml:space="preserve"> Редакции негосударственных периодических печатных изданий, выполнившие условия </w:t>
      </w:r>
      <w:hyperlink w:anchor="Lbl477">
        <w:r>
          <w:rPr>
            <w:rStyle w:val="style17"/>
          </w:rPr>
          <w:t>части 7 статьи 47</w:t>
        </w:r>
      </w:hyperlink>
      <w:r>
        <w:rPr/>
        <w:t xml:space="preserve"> настоящего Закона, вправе отказать в предоставлении печатной площади для проведения предвыборной агитации.</w:t>
      </w:r>
    </w:p>
    <w:p>
      <w:pPr>
        <w:pStyle w:val="style22"/>
        <w:rPr/>
      </w:pPr>
      <w:bookmarkStart w:id="624" w:name="Lbl4911"/>
      <w:bookmarkEnd w:id="624"/>
      <w:r>
        <w:rPr>
          <w:rStyle w:val="style18"/>
        </w:rPr>
        <w:t>11.</w:t>
      </w:r>
      <w:r>
        <w:rPr/>
        <w:t xml:space="preserve">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pPr>
        <w:pStyle w:val="style22"/>
        <w:rPr/>
      </w:pPr>
      <w:bookmarkStart w:id="625" w:name="Lbl4912"/>
      <w:bookmarkEnd w:id="625"/>
      <w:r>
        <w:rPr>
          <w:rStyle w:val="style18"/>
        </w:rPr>
        <w:t>12.</w:t>
      </w:r>
      <w:r>
        <w:rPr/>
        <w:t xml:space="preserve">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pPr>
        <w:pStyle w:val="style22"/>
        <w:rPr/>
      </w:pPr>
      <w:bookmarkStart w:id="626" w:name="Lbl4913"/>
      <w:bookmarkEnd w:id="626"/>
      <w:r>
        <w:rPr>
          <w:rStyle w:val="style18"/>
        </w:rPr>
        <w:t>13.</w:t>
      </w:r>
      <w:r>
        <w:rPr/>
        <w:t xml:space="preserve">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pPr>
        <w:pStyle w:val="style47"/>
        <w:rPr/>
      </w:pPr>
      <w:bookmarkStart w:id="627" w:name="Lbl50"/>
      <w:bookmarkEnd w:id="627"/>
      <w:r>
        <w:rPr/>
        <w:t>Статья 50</w:t>
      </w:r>
    </w:p>
    <w:p>
      <w:pPr>
        <w:pStyle w:val="style46"/>
        <w:rPr/>
      </w:pPr>
      <w:r>
        <w:rPr>
          <w:rStyle w:val="style18"/>
        </w:rPr>
        <w:t>Статья 50.</w:t>
      </w:r>
      <w:r>
        <w:rPr/>
        <w:t xml:space="preserve"> Условия проведения предвыборной агитации посредством агитационных публичных мероприятий</w:t>
      </w:r>
    </w:p>
    <w:p>
      <w:pPr>
        <w:pStyle w:val="style22"/>
        <w:rPr/>
      </w:pPr>
      <w:bookmarkStart w:id="628" w:name="Lbl5011"/>
      <w:bookmarkEnd w:id="628"/>
      <w:r>
        <w:rPr>
          <w:rStyle w:val="style18"/>
        </w:rPr>
        <w:t>1.</w:t>
      </w:r>
      <w:r>
        <w:rPr/>
        <w:t xml:space="preserve">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pPr>
        <w:pStyle w:val="style22"/>
        <w:rPr/>
      </w:pPr>
      <w:bookmarkStart w:id="629" w:name="Lbl5012"/>
      <w:bookmarkEnd w:id="629"/>
      <w:r>
        <w:rPr>
          <w:rStyle w:val="style18"/>
        </w:rPr>
        <w:t>2.</w:t>
      </w:r>
      <w:r>
        <w:rPr/>
        <w:t xml:space="preserve">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 и Рязанской области.</w:t>
      </w:r>
    </w:p>
    <w:p>
      <w:pPr>
        <w:pStyle w:val="style22"/>
        <w:rPr/>
      </w:pPr>
      <w:bookmarkStart w:id="630" w:name="Lbl4013"/>
      <w:bookmarkEnd w:id="630"/>
      <w:r>
        <w:rPr>
          <w:rStyle w:val="style18"/>
        </w:rPr>
        <w:t>3.</w:t>
      </w:r>
      <w:r>
        <w:rPr/>
        <w:t xml:space="preserve">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соответствующей избирательной комиссией, зарегистрированному кандидату, его доверенным лицам, уполномоченным представителям, избирательному объединению для встреч с избирателями. При этом избирательная комиссия, организующая выборы, обязана обеспечить равные условия проведения указанных мероприятий для зарегистрированных кандидатов, избирательных объединений, зарегистрировавших списки кандидатов.</w:t>
      </w:r>
    </w:p>
    <w:p>
      <w:pPr>
        <w:pStyle w:val="style41"/>
        <w:rPr/>
      </w:pPr>
      <w:bookmarkStart w:id="631" w:name="Lbl5014"/>
      <w:bookmarkEnd w:id="631"/>
      <w:r>
        <w:rPr/>
        <w:t>Законом Рязанской области от 9 декабря 2011 г. № 117-ОЗ в часть 4 статьи 50 главы 7 настоящего Закона внесены изменения</w:t>
      </w:r>
    </w:p>
    <w:p>
      <w:pPr>
        <w:pStyle w:val="style41"/>
        <w:rPr/>
      </w:pPr>
      <w:r>
        <w:rPr/>
        <w:t>См. текст части в предыдущей редакции</w:t>
      </w:r>
    </w:p>
    <w:p>
      <w:pPr>
        <w:pStyle w:val="style22"/>
        <w:rPr/>
      </w:pPr>
      <w:r>
        <w:rPr>
          <w:rStyle w:val="style18"/>
        </w:rPr>
        <w:t>4.</w:t>
      </w:r>
      <w:r>
        <w:rPr/>
        <w:t xml:space="preserve"> Если указанное в </w:t>
      </w:r>
      <w:hyperlink w:anchor="Lbl4013">
        <w:r>
          <w:rPr>
            <w:rStyle w:val="style17"/>
          </w:rPr>
          <w:t>части 3</w:t>
        </w:r>
      </w:hyperlink>
      <w:r>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организующую выборы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pPr>
        <w:pStyle w:val="style22"/>
        <w:rPr/>
      </w:pPr>
      <w:r>
        <w:rPr/>
        <w:t>Организующая выборы избирательная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pPr>
        <w:pStyle w:val="style22"/>
        <w:rPr/>
      </w:pPr>
      <w:bookmarkStart w:id="632" w:name="Lbl5015"/>
      <w:bookmarkEnd w:id="632"/>
      <w:r>
        <w:rPr>
          <w:rStyle w:val="style18"/>
        </w:rPr>
        <w:t>5.</w:t>
      </w:r>
      <w:r>
        <w:rPr/>
        <w:t xml:space="preserve"> Заявки на выделение помещений, указанных в </w:t>
      </w:r>
      <w:hyperlink w:anchor="Lbl4013">
        <w:r>
          <w:rPr>
            <w:rStyle w:val="style17"/>
          </w:rPr>
          <w:t>частях 3</w:t>
        </w:r>
      </w:hyperlink>
      <w:r>
        <w:rPr/>
        <w:t xml:space="preserve"> и </w:t>
      </w:r>
      <w:hyperlink w:anchor="Lbl5014">
        <w:r>
          <w:rPr>
            <w:rStyle w:val="style17"/>
          </w:rPr>
          <w:t>4</w:t>
        </w:r>
      </w:hyperlink>
      <w:r>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pPr>
        <w:pStyle w:val="style22"/>
        <w:rPr/>
      </w:pPr>
      <w:bookmarkStart w:id="633" w:name="Lbl5016"/>
      <w:bookmarkEnd w:id="633"/>
      <w:r>
        <w:rPr>
          <w:rStyle w:val="style18"/>
        </w:rPr>
        <w:t>6.</w:t>
      </w:r>
      <w:r>
        <w:rPr/>
        <w:t xml:space="preserve"> Кандидаты, избирательные объединения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style22"/>
        <w:rPr/>
      </w:pPr>
      <w:bookmarkStart w:id="634" w:name="Lbl5017"/>
      <w:bookmarkEnd w:id="634"/>
      <w:r>
        <w:rPr>
          <w:rStyle w:val="style18"/>
        </w:rPr>
        <w:t>7.</w:t>
      </w:r>
      <w:r>
        <w:rPr/>
        <w:t xml:space="preserve">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организующей выборы избирательной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избирательной комиссией, при этом все зарегистрированные кандидаты либо их доверенные лица, представители всех избирательных объединений оповещаются о месте и времени встречи не позднее чем за три дня до ее проведения.</w:t>
      </w:r>
    </w:p>
    <w:p>
      <w:pPr>
        <w:pStyle w:val="style22"/>
        <w:rPr/>
      </w:pPr>
      <w:bookmarkStart w:id="635" w:name="Lbl5018"/>
      <w:bookmarkEnd w:id="635"/>
      <w:r>
        <w:rPr>
          <w:rStyle w:val="style18"/>
        </w:rPr>
        <w:t>8.</w:t>
      </w:r>
      <w:r>
        <w:rPr/>
        <w:t xml:space="preserve">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style47"/>
        <w:rPr/>
      </w:pPr>
      <w:bookmarkStart w:id="636" w:name="Lbl51"/>
      <w:bookmarkEnd w:id="636"/>
      <w:r>
        <w:rPr/>
        <w:t>Статья 51</w:t>
      </w:r>
    </w:p>
    <w:p>
      <w:pPr>
        <w:pStyle w:val="style46"/>
        <w:rPr/>
      </w:pPr>
      <w:r>
        <w:rPr>
          <w:rStyle w:val="style18"/>
        </w:rPr>
        <w:t>Статья 51</w:t>
      </w:r>
      <w:r>
        <w:rPr/>
        <w:t>. Условия выпуска и распространения печатных, аудиовизуальных и иных предвыборных агитационных материалов</w:t>
      </w:r>
    </w:p>
    <w:p>
      <w:pPr>
        <w:pStyle w:val="style22"/>
        <w:rPr/>
      </w:pPr>
      <w:bookmarkStart w:id="637" w:name="Lbl511"/>
      <w:bookmarkEnd w:id="637"/>
      <w:r>
        <w:rPr>
          <w:rStyle w:val="style18"/>
        </w:rPr>
        <w:t>1.</w:t>
      </w:r>
      <w:r>
        <w:rPr/>
        <w:t xml:space="preserve"> Кандидаты, избирательные объединения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style22"/>
        <w:rPr/>
      </w:pPr>
      <w:bookmarkStart w:id="638" w:name="Lbl512"/>
      <w:bookmarkEnd w:id="638"/>
      <w:r>
        <w:rPr>
          <w:rStyle w:val="style18"/>
        </w:rPr>
        <w:t>2.</w:t>
      </w:r>
      <w:r>
        <w:rPr/>
        <w:t xml:space="preserve">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избирательным объединениям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муниципального образования.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pPr>
        <w:pStyle w:val="style22"/>
        <w:rPr/>
      </w:pPr>
      <w:bookmarkStart w:id="639" w:name="Lbl513"/>
      <w:bookmarkEnd w:id="639"/>
      <w:r>
        <w:rPr>
          <w:rStyle w:val="style18"/>
        </w:rPr>
        <w:t>3.</w:t>
      </w:r>
      <w:r>
        <w:rPr/>
        <w:t xml:space="preserve">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кандидата, избирательного объединения.</w:t>
      </w:r>
    </w:p>
    <w:p>
      <w:pPr>
        <w:pStyle w:val="style22"/>
        <w:rPr/>
      </w:pPr>
      <w:bookmarkStart w:id="640" w:name="Lbl514"/>
      <w:bookmarkEnd w:id="640"/>
      <w:r>
        <w:rPr>
          <w:rStyle w:val="style18"/>
        </w:rPr>
        <w:t>4.</w:t>
      </w:r>
      <w:r>
        <w:rPr/>
        <w:t xml:space="preserve">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в окружную избирательную комиссию, избирательным объединением — в избирательную комиссию муниципального образования.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pPr>
        <w:pStyle w:val="style22"/>
        <w:rPr/>
      </w:pPr>
      <w:bookmarkStart w:id="641" w:name="Lbl515"/>
      <w:bookmarkEnd w:id="641"/>
      <w:r>
        <w:rPr>
          <w:rStyle w:val="style18"/>
        </w:rPr>
        <w:t>5.</w:t>
      </w:r>
      <w:r>
        <w:rPr/>
        <w:t xml:space="preserve"> Запрещается изготовление агитационных материалов без предварительной оплаты за счет средств соответствующего избирательного фонда и с нарушением требований, установленных </w:t>
      </w:r>
      <w:hyperlink w:anchor="Lbl513">
        <w:r>
          <w:rPr>
            <w:rStyle w:val="style17"/>
          </w:rPr>
          <w:t>частью 3</w:t>
        </w:r>
      </w:hyperlink>
      <w:r>
        <w:rPr/>
        <w:t xml:space="preserve"> настоящей статьи.</w:t>
      </w:r>
    </w:p>
    <w:p>
      <w:pPr>
        <w:pStyle w:val="style22"/>
        <w:rPr/>
      </w:pPr>
      <w:bookmarkStart w:id="642" w:name="Lbl516"/>
      <w:bookmarkEnd w:id="642"/>
      <w:r>
        <w:rPr>
          <w:rStyle w:val="style18"/>
        </w:rPr>
        <w:t>6.</w:t>
      </w:r>
      <w:r>
        <w:rPr/>
        <w:t xml:space="preserve"> Запрещается распространение агитационных материалов с нарушением требований, установленных </w:t>
      </w:r>
      <w:hyperlink w:anchor="Lbl514">
        <w:r>
          <w:rPr>
            <w:rStyle w:val="style17"/>
          </w:rPr>
          <w:t>частью 4</w:t>
        </w:r>
      </w:hyperlink>
      <w:r>
        <w:rPr/>
        <w:t xml:space="preserve"> настоящей статьи, </w:t>
      </w:r>
      <w:hyperlink w:anchor="Lbl459">
        <w:r>
          <w:rPr>
            <w:rStyle w:val="style17"/>
          </w:rPr>
          <w:t>частью 9 статьи 45</w:t>
        </w:r>
      </w:hyperlink>
      <w:r>
        <w:rPr/>
        <w:t xml:space="preserve"> настоящего Закона.</w:t>
      </w:r>
    </w:p>
    <w:p>
      <w:pPr>
        <w:pStyle w:val="style22"/>
        <w:rPr/>
      </w:pPr>
      <w:bookmarkStart w:id="643" w:name="Lbl517"/>
      <w:bookmarkEnd w:id="643"/>
      <w:r>
        <w:rPr>
          <w:rStyle w:val="style18"/>
        </w:rPr>
        <w:t>7.</w:t>
      </w:r>
      <w:r>
        <w:rPr/>
        <w:t xml:space="preserve">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зарегистрировавшим списки кандидатов, должна быть выделена равная площадь для размещения печатных агитационных материалов. Перечень указанных мест доводится избирательной комиссией муниципального образования до сведения кандидатов, избирательных объединений.</w:t>
      </w:r>
    </w:p>
    <w:p>
      <w:pPr>
        <w:pStyle w:val="style22"/>
        <w:rPr/>
      </w:pPr>
      <w:bookmarkStart w:id="644" w:name="Lbl518"/>
      <w:bookmarkEnd w:id="644"/>
      <w:r>
        <w:rPr>
          <w:rStyle w:val="style18"/>
        </w:rPr>
        <w:t>8.</w:t>
      </w:r>
      <w:r>
        <w:rPr/>
        <w:t xml:space="preserve">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anchor="Lbl517">
        <w:r>
          <w:rPr>
            <w:rStyle w:val="style17"/>
          </w:rPr>
          <w:t>частью 7</w:t>
        </w:r>
      </w:hyperlink>
      <w:r>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style22"/>
        <w:rPr/>
      </w:pPr>
      <w:bookmarkStart w:id="645" w:name="Lbl519"/>
      <w:bookmarkEnd w:id="645"/>
      <w:r>
        <w:rPr>
          <w:rStyle w:val="style18"/>
        </w:rPr>
        <w:t>9.</w:t>
      </w:r>
      <w:r>
        <w:rPr/>
        <w:t xml:space="preserve"> Организации, индивидуальные предприниматели, оказывающие рекламные услуги, обязаны обеспечить кандидатам, избирательным объединениям равные условия для размещения агитационных материалов.</w:t>
      </w:r>
    </w:p>
    <w:p>
      <w:pPr>
        <w:pStyle w:val="style22"/>
        <w:rPr/>
      </w:pPr>
      <w:bookmarkStart w:id="646" w:name="Lbl5110"/>
      <w:bookmarkEnd w:id="646"/>
      <w:r>
        <w:rPr>
          <w:rStyle w:val="style18"/>
        </w:rPr>
        <w:t>10.</w:t>
      </w:r>
      <w:r>
        <w:rPr/>
        <w:t xml:space="preserve">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pPr>
        <w:pStyle w:val="style22"/>
        <w:rPr/>
      </w:pPr>
      <w:bookmarkStart w:id="647" w:name="Lbl5111"/>
      <w:bookmarkEnd w:id="647"/>
      <w:r>
        <w:rPr>
          <w:rStyle w:val="style18"/>
        </w:rPr>
        <w:t>11.</w:t>
      </w:r>
      <w:r>
        <w:rPr/>
        <w:t xml:space="preserve"> Положения настоящей статьи не применяются в отношении агитационных материалов, распространяемых в соответствии со </w:t>
      </w:r>
      <w:hyperlink w:anchor="Lbl48">
        <w:r>
          <w:rPr>
            <w:rStyle w:val="style17"/>
          </w:rPr>
          <w:t>статьями 48</w:t>
        </w:r>
      </w:hyperlink>
      <w:r>
        <w:rPr/>
        <w:t xml:space="preserve"> и </w:t>
      </w:r>
      <w:hyperlink w:anchor="Lbl49">
        <w:r>
          <w:rPr>
            <w:rStyle w:val="style17"/>
          </w:rPr>
          <w:t>49</w:t>
        </w:r>
      </w:hyperlink>
      <w:r>
        <w:rPr/>
        <w:t xml:space="preserve"> настоящего Закона.</w:t>
      </w:r>
    </w:p>
    <w:p>
      <w:pPr>
        <w:pStyle w:val="style47"/>
        <w:rPr/>
      </w:pPr>
      <w:bookmarkStart w:id="648" w:name="Lbl52"/>
      <w:bookmarkEnd w:id="648"/>
      <w:r>
        <w:rPr/>
        <w:t>Статья 52</w:t>
      </w:r>
    </w:p>
    <w:p>
      <w:pPr>
        <w:pStyle w:val="style46"/>
        <w:rPr/>
      </w:pPr>
      <w:r>
        <w:rPr>
          <w:rStyle w:val="style18"/>
        </w:rPr>
        <w:t>Статья 52</w:t>
      </w:r>
      <w:r>
        <w:rPr/>
        <w:t>. Ограничения при проведении предвыборной агитации</w:t>
      </w:r>
    </w:p>
    <w:p>
      <w:pPr>
        <w:pStyle w:val="style41"/>
        <w:rPr/>
      </w:pPr>
      <w:bookmarkStart w:id="649" w:name="Lbl521"/>
      <w:bookmarkEnd w:id="649"/>
      <w:r>
        <w:rPr/>
        <w:t>Законом Рязанской области от 9 декабря 2011 г. № 117-ОЗ в часть 1 статьи 52 главы 7 настоящего Закона внесены изменения</w:t>
      </w:r>
    </w:p>
    <w:p>
      <w:pPr>
        <w:pStyle w:val="style41"/>
        <w:rPr/>
      </w:pPr>
      <w:r>
        <w:rPr/>
        <w:t>См. текст части в предыдущей редакции</w:t>
      </w:r>
    </w:p>
    <w:p>
      <w:pPr>
        <w:pStyle w:val="style22"/>
        <w:rPr/>
      </w:pPr>
      <w:r>
        <w:rPr>
          <w:rStyle w:val="style18"/>
        </w:rPr>
        <w:t>1.</w:t>
      </w:r>
      <w:r>
        <w:rPr/>
        <w:t xml:space="preserve">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общего пользования, включая «Интернет»), не должны содержать призывы к совершению деяний, определяемых в статье 1 Федерального закона от 25 июля 2002 года №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pPr>
        <w:pStyle w:val="style22"/>
        <w:rPr/>
      </w:pPr>
      <w:bookmarkStart w:id="650" w:name="Lbl522"/>
      <w:bookmarkEnd w:id="650"/>
      <w:r>
        <w:rPr>
          <w:rStyle w:val="style18"/>
        </w:rPr>
        <w:t>2.</w:t>
      </w:r>
      <w:r>
        <w:rPr/>
        <w:t xml:space="preserve"> При проведении предвыборной агитации также не допускается злоупотребление свободой массовой информации в иных, чем указанные в </w:t>
      </w:r>
      <w:hyperlink w:anchor="Lbl521">
        <w:r>
          <w:rPr>
            <w:rStyle w:val="style17"/>
          </w:rPr>
          <w:t>части 1</w:t>
        </w:r>
      </w:hyperlink>
      <w:r>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pPr>
        <w:pStyle w:val="style22"/>
        <w:rPr/>
      </w:pPr>
      <w:bookmarkStart w:id="651" w:name="Lbl523"/>
      <w:bookmarkEnd w:id="651"/>
      <w:r>
        <w:rPr>
          <w:rStyle w:val="style18"/>
        </w:rPr>
        <w:t>3.</w:t>
      </w:r>
      <w:r>
        <w:rPr/>
        <w:t xml:space="preserve">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style22"/>
        <w:rPr/>
      </w:pPr>
      <w:bookmarkStart w:id="652" w:name="Lbl524"/>
      <w:bookmarkEnd w:id="652"/>
      <w:r>
        <w:rPr>
          <w:rStyle w:val="style18"/>
        </w:rPr>
        <w:t>4.</w:t>
      </w:r>
      <w:r>
        <w:rPr/>
        <w:t xml:space="preserve">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pPr>
        <w:pStyle w:val="style22"/>
        <w:rPr/>
      </w:pPr>
      <w:bookmarkStart w:id="653" w:name="Lbl525"/>
      <w:bookmarkEnd w:id="653"/>
      <w:r>
        <w:rPr>
          <w:rStyle w:val="style18"/>
        </w:rPr>
        <w:t>5.</w:t>
      </w:r>
      <w:r>
        <w:rPr/>
        <w:t xml:space="preserve">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w:t>
      </w:r>
    </w:p>
    <w:p>
      <w:pPr>
        <w:pStyle w:val="style22"/>
        <w:rPr/>
      </w:pPr>
      <w:bookmarkStart w:id="654" w:name="Lbl526"/>
      <w:bookmarkEnd w:id="654"/>
      <w:r>
        <w:rPr>
          <w:rStyle w:val="style18"/>
        </w:rPr>
        <w:t>6.</w:t>
      </w:r>
      <w:r>
        <w:rPr/>
        <w:t xml:space="preserve">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pPr>
        <w:pStyle w:val="style22"/>
        <w:rPr/>
      </w:pPr>
      <w:bookmarkStart w:id="655" w:name="Lbl527"/>
      <w:bookmarkEnd w:id="655"/>
      <w:r>
        <w:rPr>
          <w:rStyle w:val="style18"/>
        </w:rPr>
        <w:t>7.</w:t>
      </w:r>
      <w:r>
        <w:rPr/>
        <w:t xml:space="preserve"> Агитационные материалы не могут содержать коммерческую рекламу.</w:t>
      </w:r>
    </w:p>
    <w:p>
      <w:pPr>
        <w:pStyle w:val="style22"/>
        <w:rPr/>
      </w:pPr>
      <w:bookmarkStart w:id="656" w:name="Lbl528"/>
      <w:bookmarkEnd w:id="656"/>
      <w:r>
        <w:rPr>
          <w:rStyle w:val="style18"/>
        </w:rPr>
        <w:t>8.</w:t>
      </w:r>
      <w:r>
        <w:rPr/>
        <w:t xml:space="preserve">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pPr>
        <w:pStyle w:val="style22"/>
        <w:rPr/>
      </w:pPr>
      <w:bookmarkStart w:id="657" w:name="Lbl5281"/>
      <w:bookmarkEnd w:id="657"/>
      <w:r>
        <w:rPr>
          <w:rStyle w:val="style18"/>
        </w:rPr>
        <w:t>1)</w:t>
      </w:r>
      <w:r>
        <w:rPr/>
        <w:t xml:space="preserve"> распространения призывов голосовать против кандидата, кандидатов, списка кандидатов, списков кандидатов;</w:t>
      </w:r>
    </w:p>
    <w:p>
      <w:pPr>
        <w:pStyle w:val="style22"/>
        <w:rPr/>
      </w:pPr>
      <w:bookmarkStart w:id="658" w:name="Lbl5282"/>
      <w:bookmarkEnd w:id="658"/>
      <w:r>
        <w:rPr>
          <w:rStyle w:val="style18"/>
        </w:rPr>
        <w:t>2)</w:t>
      </w:r>
      <w:r>
        <w:rPr/>
        <w:t xml:space="preserve">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pPr>
        <w:pStyle w:val="style22"/>
        <w:rPr/>
      </w:pPr>
      <w:bookmarkStart w:id="659" w:name="Lbl5283"/>
      <w:bookmarkEnd w:id="659"/>
      <w:r>
        <w:rPr>
          <w:rStyle w:val="style18"/>
        </w:rPr>
        <w:t>3)</w:t>
      </w:r>
      <w:r>
        <w:rPr/>
        <w:t xml:space="preserve">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pPr>
        <w:pStyle w:val="style22"/>
        <w:rPr/>
      </w:pPr>
      <w:bookmarkStart w:id="660" w:name="Lbl5284"/>
      <w:bookmarkEnd w:id="660"/>
      <w:r>
        <w:rPr>
          <w:rStyle w:val="style18"/>
        </w:rPr>
        <w:t>4)</w:t>
      </w:r>
      <w:r>
        <w:rPr/>
        <w:t xml:space="preserve">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pPr>
        <w:pStyle w:val="style22"/>
        <w:rPr/>
      </w:pPr>
      <w:bookmarkStart w:id="661" w:name="Lbl529"/>
      <w:bookmarkEnd w:id="661"/>
      <w:r>
        <w:rPr>
          <w:rStyle w:val="style18"/>
        </w:rPr>
        <w:t>9.</w:t>
      </w:r>
      <w:r>
        <w:rPr/>
        <w:t xml:space="preserve">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Законом бесплатного и платного эфирного времени, бесплатной и платной печатной площади.</w:t>
      </w:r>
    </w:p>
    <w:p>
      <w:pPr>
        <w:pStyle w:val="style22"/>
        <w:rPr/>
      </w:pPr>
      <w:bookmarkStart w:id="662" w:name="Lbl5210"/>
      <w:bookmarkEnd w:id="662"/>
      <w:r>
        <w:rPr>
          <w:rStyle w:val="style18"/>
        </w:rPr>
        <w:t>10.</w:t>
      </w:r>
      <w:r>
        <w:rPr/>
        <w:t xml:space="preserve">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pPr>
        <w:pStyle w:val="style22"/>
        <w:rPr/>
      </w:pPr>
      <w:bookmarkStart w:id="663" w:name="Lbl5211"/>
      <w:bookmarkEnd w:id="663"/>
      <w:r>
        <w:rPr>
          <w:rStyle w:val="style18"/>
        </w:rPr>
        <w:t>11.</w:t>
      </w:r>
      <w:r>
        <w:rPr/>
        <w:t xml:space="preserve">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Lbl513">
        <w:r>
          <w:rPr>
            <w:rStyle w:val="style17"/>
          </w:rPr>
          <w:t>частей 3 — 6</w:t>
        </w:r>
      </w:hyperlink>
      <w:r>
        <w:rPr/>
        <w:t xml:space="preserve">, </w:t>
      </w:r>
      <w:hyperlink w:anchor="Lbl518">
        <w:r>
          <w:rPr>
            <w:rStyle w:val="style17"/>
          </w:rPr>
          <w:t>8</w:t>
        </w:r>
      </w:hyperlink>
      <w:r>
        <w:rPr/>
        <w:t xml:space="preserve"> и </w:t>
      </w:r>
      <w:hyperlink w:anchor="Lbl5110">
        <w:r>
          <w:rPr>
            <w:rStyle w:val="style17"/>
          </w:rPr>
          <w:t>10 статьи 51</w:t>
        </w:r>
      </w:hyperlink>
      <w:r>
        <w:rPr/>
        <w:t xml:space="preserve"> настоящего Закона, а также в случае нарушения организацией телерадиовещания, редакцией периодического печатного издания установленного настоящим Законом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законодательством Российской Федерации.</w:t>
      </w:r>
    </w:p>
    <w:p>
      <w:pPr>
        <w:pStyle w:val="style22"/>
        <w:rPr/>
      </w:pPr>
      <w:bookmarkStart w:id="664" w:name="Lbl5212"/>
      <w:bookmarkEnd w:id="664"/>
      <w:r>
        <w:rPr>
          <w:rStyle w:val="style18"/>
        </w:rPr>
        <w:t>12.</w:t>
      </w:r>
      <w:r>
        <w:rPr/>
        <w:t xml:space="preserve">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о принятых мерах.</w:t>
      </w:r>
    </w:p>
    <w:p>
      <w:pPr>
        <w:pStyle w:val="style47"/>
        <w:rPr/>
      </w:pPr>
      <w:bookmarkStart w:id="665" w:name="Lbl800"/>
      <w:bookmarkEnd w:id="665"/>
      <w:r>
        <w:rPr/>
        <w:t>Справочник наблюдателя — www.nablawiki.ru</w:t>
      </w:r>
    </w:p>
    <w:p>
      <w:pPr>
        <w:pStyle w:val="style2"/>
        <w:rPr/>
      </w:pPr>
      <w:r>
        <w:rPr/>
        <w:t>Глава 8. Финансирование выборов депутатов представительного органа муниципального образования</w:t>
      </w:r>
    </w:p>
    <w:p>
      <w:pPr>
        <w:pStyle w:val="style47"/>
        <w:rPr/>
      </w:pPr>
      <w:bookmarkStart w:id="666" w:name="Lbl53"/>
      <w:bookmarkEnd w:id="666"/>
      <w:r>
        <w:rPr/>
        <w:t>Статья 53</w:t>
      </w:r>
    </w:p>
    <w:p>
      <w:pPr>
        <w:pStyle w:val="style46"/>
        <w:rPr/>
      </w:pPr>
      <w:r>
        <w:rPr>
          <w:rStyle w:val="style18"/>
        </w:rPr>
        <w:t>Статья 53.</w:t>
      </w:r>
      <w:r>
        <w:rPr/>
        <w:t xml:space="preserve"> Финансовое обеспечение подготовки и проведения выборов депутатов представительного органа муниципального образования</w:t>
      </w:r>
    </w:p>
    <w:p>
      <w:pPr>
        <w:pStyle w:val="style22"/>
        <w:rPr/>
      </w:pPr>
      <w:bookmarkStart w:id="667" w:name="Lbl531"/>
      <w:bookmarkEnd w:id="667"/>
      <w:r>
        <w:rPr>
          <w:rStyle w:val="style18"/>
        </w:rPr>
        <w:t>1.</w:t>
      </w:r>
      <w:r>
        <w:rPr/>
        <w:t xml:space="preserve"> Расходы, связанные с подготовкой и проведением выборов депутатов представительного органа муниципального образования,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бюджета муниципального образования (при проведении выборов во вновь образованном муниципальном образовании — из областного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pPr>
        <w:pStyle w:val="style22"/>
        <w:rPr/>
      </w:pPr>
      <w:bookmarkStart w:id="668" w:name="Lbl532"/>
      <w:bookmarkEnd w:id="668"/>
      <w:r>
        <w:rPr>
          <w:rStyle w:val="style18"/>
        </w:rPr>
        <w:t>2.</w:t>
      </w:r>
      <w:r>
        <w:rPr/>
        <w:t xml:space="preserve"> Главным распорядителем средств, предусмотренных в соответствующем бюджете на проведение выборов депутатов представительного органа муниципального образования, является избирательная комиссия муниципального образования. Избирательная комиссия муниципального образования распределяет денежные средства между нижестоящими избирательными комиссиями.</w:t>
      </w:r>
    </w:p>
    <w:p>
      <w:pPr>
        <w:pStyle w:val="style22"/>
        <w:rPr/>
      </w:pPr>
      <w:bookmarkStart w:id="669" w:name="Lbl533"/>
      <w:bookmarkEnd w:id="669"/>
      <w:r>
        <w:rPr>
          <w:rStyle w:val="style18"/>
        </w:rPr>
        <w:t>3.</w:t>
      </w:r>
      <w:r>
        <w:rPr/>
        <w:t xml:space="preserve"> Председатели избирательных комиссий распоряжаются средствами, выделенными из соответствующего бюджета на подготовку и проведение выборов депутатов представительного органа муниципального образования, и несут ответственность за соответствие финансовых документов решениям избирательных комиссий по финансовым вопросам и за представление финансовых отчетов о расходовании указанных средств в порядке и сроки, установленные настоящим Законом.</w:t>
      </w:r>
    </w:p>
    <w:p>
      <w:pPr>
        <w:pStyle w:val="style22"/>
        <w:rPr/>
      </w:pPr>
      <w:bookmarkStart w:id="670" w:name="Lbl534"/>
      <w:bookmarkEnd w:id="670"/>
      <w:r>
        <w:rPr>
          <w:rStyle w:val="style18"/>
        </w:rPr>
        <w:t>4.</w:t>
      </w:r>
      <w:r>
        <w:rPr/>
        <w:t xml:space="preserve"> Расходование средств, выделенных на подготовку и проведение выборов депутатов представительного органа муниципального образования, производится соответствующими избирательными комиссиями самостоятельно на цели, определенные настоящим Законом.</w:t>
      </w:r>
    </w:p>
    <w:p>
      <w:pPr>
        <w:pStyle w:val="style22"/>
        <w:rPr/>
      </w:pPr>
      <w:bookmarkStart w:id="671" w:name="Lbl535"/>
      <w:bookmarkEnd w:id="671"/>
      <w:r>
        <w:rPr>
          <w:rStyle w:val="style18"/>
        </w:rPr>
        <w:t>5.</w:t>
      </w:r>
      <w:r>
        <w:rPr/>
        <w:t xml:space="preserve"> За счет средств, выделенных на подготовку и проведение выборов депутатов представительного органа муниципального образования, финансируются следующие расходы:</w:t>
      </w:r>
    </w:p>
    <w:p>
      <w:pPr>
        <w:pStyle w:val="style22"/>
        <w:rPr/>
      </w:pPr>
      <w:bookmarkStart w:id="672" w:name="Lbl5351"/>
      <w:bookmarkEnd w:id="672"/>
      <w:r>
        <w:rPr>
          <w:rStyle w:val="style18"/>
        </w:rPr>
        <w:t>1)</w:t>
      </w:r>
      <w:r>
        <w:rPr/>
        <w:t xml:space="preserve"> на дополнительную оплату труда (вознаграждение) членов избирательных комиссий с правом решающего голоса, работников аппаратов избирательных комиссий, на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контрольно-ревизионной службы при избирательной комиссии;</w:t>
      </w:r>
    </w:p>
    <w:p>
      <w:pPr>
        <w:pStyle w:val="style22"/>
        <w:rPr/>
      </w:pPr>
      <w:bookmarkStart w:id="673" w:name="Lbl5352"/>
      <w:bookmarkEnd w:id="673"/>
      <w:r>
        <w:rPr>
          <w:rStyle w:val="style18"/>
        </w:rPr>
        <w:t>2)</w:t>
      </w:r>
      <w:r>
        <w:rPr/>
        <w:t xml:space="preserve"> на изготовление печатной продукции;</w:t>
      </w:r>
    </w:p>
    <w:p>
      <w:pPr>
        <w:pStyle w:val="style22"/>
        <w:rPr/>
      </w:pPr>
      <w:bookmarkStart w:id="674" w:name="Lbl5353"/>
      <w:bookmarkEnd w:id="674"/>
      <w:r>
        <w:rPr>
          <w:rStyle w:val="style18"/>
        </w:rPr>
        <w:t>3)</w:t>
      </w:r>
      <w:r>
        <w:rPr/>
        <w:t xml:space="preserve">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обеспечения деятельности избирательных комиссий;</w:t>
      </w:r>
    </w:p>
    <w:p>
      <w:pPr>
        <w:pStyle w:val="style22"/>
        <w:rPr/>
      </w:pPr>
      <w:bookmarkStart w:id="675" w:name="Lbl5354"/>
      <w:bookmarkEnd w:id="675"/>
      <w:r>
        <w:rPr>
          <w:rStyle w:val="style18"/>
        </w:rPr>
        <w:t>4)</w:t>
      </w:r>
      <w:r>
        <w:rPr/>
        <w:t xml:space="preserve"> на транспортные расходы;</w:t>
      </w:r>
    </w:p>
    <w:p>
      <w:pPr>
        <w:pStyle w:val="style22"/>
        <w:rPr/>
      </w:pPr>
      <w:bookmarkStart w:id="676" w:name="Lbl5355"/>
      <w:bookmarkEnd w:id="676"/>
      <w:r>
        <w:rPr>
          <w:rStyle w:val="style18"/>
        </w:rPr>
        <w:t>5)</w:t>
      </w:r>
      <w:r>
        <w:rPr/>
        <w:t xml:space="preserve"> на доставку, хранение избирательной документации, подготовку ее к передаче в архив или на уничтожение;</w:t>
      </w:r>
    </w:p>
    <w:p>
      <w:pPr>
        <w:pStyle w:val="style22"/>
        <w:rPr/>
      </w:pPr>
      <w:bookmarkStart w:id="677" w:name="Lbl5356"/>
      <w:bookmarkEnd w:id="677"/>
      <w:r>
        <w:rPr>
          <w:rStyle w:val="style18"/>
        </w:rPr>
        <w:t>6)</w:t>
      </w:r>
      <w:r>
        <w:rPr/>
        <w:t xml:space="preserve"> на использование и эксплуатацию средств автоматизации, повышение правовой культуры избирателей и обучение организаторов выборов;</w:t>
      </w:r>
    </w:p>
    <w:p>
      <w:pPr>
        <w:pStyle w:val="style22"/>
        <w:rPr/>
      </w:pPr>
      <w:bookmarkStart w:id="678" w:name="Lbl5357"/>
      <w:bookmarkEnd w:id="678"/>
      <w:r>
        <w:rPr>
          <w:rStyle w:val="style18"/>
        </w:rPr>
        <w:t>7)</w:t>
      </w:r>
      <w:r>
        <w:rPr/>
        <w:t xml:space="preserve"> на другие цели, связанные с проведением выборов и обеспечением деятельности избирательных комиссий.</w:t>
      </w:r>
    </w:p>
    <w:p>
      <w:pPr>
        <w:pStyle w:val="style22"/>
        <w:rPr/>
      </w:pPr>
      <w:bookmarkStart w:id="679" w:name="Lbl536"/>
      <w:bookmarkEnd w:id="679"/>
      <w:r>
        <w:rPr>
          <w:rStyle w:val="style18"/>
        </w:rPr>
        <w:t>6.</w:t>
      </w:r>
      <w:r>
        <w:rPr/>
        <w:t xml:space="preserve">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муниципального образования за счет и в пределах бюджетных средств, выделенных на подготовку и проведение выборов.</w:t>
      </w:r>
    </w:p>
    <w:p>
      <w:pPr>
        <w:pStyle w:val="style22"/>
        <w:rPr/>
      </w:pPr>
      <w:bookmarkStart w:id="680" w:name="Lbl537"/>
      <w:bookmarkEnd w:id="680"/>
      <w:r>
        <w:rPr>
          <w:rStyle w:val="style18"/>
        </w:rPr>
        <w:t>7.</w:t>
      </w:r>
      <w:r>
        <w:rPr/>
        <w:t xml:space="preserve"> Денежные средства перечисляются на счета, открываемые избирательным комиссиям в учреждениях Центрального банка Российской Федерации, а в случае их отсутствия — в филиалах Сберегательного банка Российской Федерации. Порядок открытия, ведения и закрытия счетов, учета, отчетности и перечисления денежных средств, выделенных избирательной комиссии муниципального образования, окружным и участковым избирательным комиссиям на подготовку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Рязанской области по согласованию с Главным управлением Центрального банка Российской Федерации по Рязанской области.</w:t>
      </w:r>
    </w:p>
    <w:p>
      <w:pPr>
        <w:pStyle w:val="style22"/>
        <w:rPr/>
      </w:pPr>
      <w:bookmarkStart w:id="681" w:name="Lbl538"/>
      <w:bookmarkEnd w:id="681"/>
      <w:r>
        <w:rPr>
          <w:rStyle w:val="style18"/>
        </w:rPr>
        <w:t>8.</w:t>
      </w:r>
      <w:r>
        <w:rPr/>
        <w:t xml:space="preserve">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pPr>
        <w:pStyle w:val="style47"/>
        <w:rPr/>
      </w:pPr>
      <w:bookmarkStart w:id="682" w:name="Lbl54"/>
      <w:bookmarkEnd w:id="682"/>
      <w:r>
        <w:rPr/>
        <w:t>Статья 54</w:t>
      </w:r>
    </w:p>
    <w:p>
      <w:pPr>
        <w:pStyle w:val="style46"/>
        <w:rPr/>
      </w:pPr>
      <w:r>
        <w:rPr>
          <w:rStyle w:val="style18"/>
        </w:rPr>
        <w:t>Статья 54</w:t>
      </w:r>
      <w:r>
        <w:rPr/>
        <w:t>. Финансовая отчетность избирательных комиссий</w:t>
      </w:r>
    </w:p>
    <w:p>
      <w:pPr>
        <w:pStyle w:val="style22"/>
        <w:rPr/>
      </w:pPr>
      <w:bookmarkStart w:id="683" w:name="Lbl541"/>
      <w:bookmarkEnd w:id="683"/>
      <w:r>
        <w:rPr>
          <w:rStyle w:val="style18"/>
        </w:rPr>
        <w:t>1.</w:t>
      </w:r>
      <w:r>
        <w:rPr/>
        <w:t xml:space="preserve"> Участковые избирательные комиссии представляют финансовые отчеты о поступлении и расходовании средств, выделенных на подготовку и проведение выборов, в избирательную комиссию муниципального образования не позднее чем через 10 дней со дня голосования.</w:t>
      </w:r>
    </w:p>
    <w:p>
      <w:pPr>
        <w:pStyle w:val="style22"/>
        <w:rPr/>
      </w:pPr>
      <w:bookmarkStart w:id="684" w:name="Lbl542"/>
      <w:bookmarkEnd w:id="684"/>
      <w:r>
        <w:rPr>
          <w:rStyle w:val="style18"/>
        </w:rPr>
        <w:t>2.</w:t>
      </w:r>
      <w:r>
        <w:rPr/>
        <w:t xml:space="preserve"> Окружные избирательные комиссии представляют финансовые отчеты о поступлении и расходовании средств, выделенных на подготовку и проведение выборов, в избирательную комиссию муниципального образования не позднее чем через 30 дней со дня официального опубликования результатов выборов в соответствующих одномандатных (многомандатных) избирательных округах.</w:t>
      </w:r>
    </w:p>
    <w:p>
      <w:pPr>
        <w:pStyle w:val="style22"/>
        <w:rPr/>
      </w:pPr>
      <w:bookmarkStart w:id="685" w:name="Lbl543"/>
      <w:bookmarkEnd w:id="685"/>
      <w:r>
        <w:rPr>
          <w:rStyle w:val="style18"/>
        </w:rPr>
        <w:t>3.</w:t>
      </w:r>
      <w:r>
        <w:rPr/>
        <w:t xml:space="preserve"> Избирательная комиссия муниципального образования представляет финансовый отчет о расходовании средств, выделенных из бюджета муниципального образования на подготовку и проведение выборов, в представительный орган муниципального образования, а при финансировании из областного бюджета — в Рязанскую областную Думу, не позднее чем через 60 дней со дня официального опубликования общих результатов выборов.</w:t>
      </w:r>
    </w:p>
    <w:p>
      <w:pPr>
        <w:pStyle w:val="style22"/>
        <w:rPr/>
      </w:pPr>
      <w:bookmarkStart w:id="686" w:name="Lbl544"/>
      <w:bookmarkEnd w:id="686"/>
      <w:r>
        <w:rPr>
          <w:rStyle w:val="style18"/>
        </w:rPr>
        <w:t>4.</w:t>
      </w:r>
      <w:r>
        <w:rPr/>
        <w:t xml:space="preserve"> Неизрасходованные избирательными комиссиями средства, полученные из бюджета муниципального образования или из областного бюджета на подготовку и проведение выборов депутатов представительного органа муниципального образования, возвращаются в бюджет муниципального образования или областной бюджет не позднее, чем через 60 дней после представления избирательной комиссией муниципального образования финансового отчета о расходовании средств, выделенных из соответствующего бюджета на подготовку и проведение выборов.</w:t>
      </w:r>
    </w:p>
    <w:p>
      <w:pPr>
        <w:pStyle w:val="style47"/>
        <w:rPr/>
      </w:pPr>
      <w:bookmarkStart w:id="687" w:name="Lbl55"/>
      <w:bookmarkEnd w:id="687"/>
      <w:r>
        <w:rPr/>
        <w:t>Статья 55</w:t>
      </w:r>
    </w:p>
    <w:p>
      <w:pPr>
        <w:pStyle w:val="style46"/>
        <w:rPr/>
      </w:pPr>
      <w:r>
        <w:rPr>
          <w:rStyle w:val="style18"/>
        </w:rPr>
        <w:t>Статья 55</w:t>
      </w:r>
      <w:r>
        <w:rPr/>
        <w:t>. Порядок создания избирательных фондов кандидатов, избирательных объединений</w:t>
      </w:r>
    </w:p>
    <w:p>
      <w:pPr>
        <w:pStyle w:val="style22"/>
        <w:rPr/>
      </w:pPr>
      <w:bookmarkStart w:id="688" w:name="Lbl551"/>
      <w:bookmarkEnd w:id="688"/>
      <w:r>
        <w:rPr>
          <w:rStyle w:val="style18"/>
        </w:rPr>
        <w:t>1.</w:t>
      </w:r>
      <w:r>
        <w:rPr/>
        <w:t xml:space="preserve"> Кандидат, выдвинутый по одномандатному (многомандатному) избирательному округу, обязан создать собственный избирательный фонд для финансирования своей избирательной кампании в период после письменного уведомления окружной избирательной комиссии о своем выдвижении (самовыдвижении) и до представления документов для его регистрации в соответствии с настоящим Законом. При проведении выборов депутатов представительного органа муниципального образования создание кандидатом избирательного фонда необязательно при условии, что число избирателей в соответствующем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окружную избирательную комиссию об указанных обстоятельствах одновременно с представлением заявления, предусмотренного </w:t>
      </w:r>
      <w:hyperlink w:anchor="Lbl271">
        <w:r>
          <w:rPr>
            <w:rStyle w:val="style17"/>
          </w:rPr>
          <w:t>частью 1 статьи 27</w:t>
        </w:r>
      </w:hyperlink>
      <w:r>
        <w:rPr/>
        <w:t xml:space="preserve">, </w:t>
      </w:r>
      <w:hyperlink w:anchor="Lbl3031">
        <w:r>
          <w:rPr>
            <w:rStyle w:val="style17"/>
          </w:rPr>
          <w:t>пунктом 1 части 3 статьи 30</w:t>
        </w:r>
      </w:hyperlink>
      <w:r>
        <w:rPr/>
        <w:t xml:space="preserve"> настоящего Закона. Избирательное объединение, выдвинувшее список кандидатов по единому избирательному округу, для финансирования своей избирательной кампании обязано создать собственный избирательный фонд после регистрации его уполномоченных представителей по финансовым вопросам избирательной комиссией муниципального образования. Избирательное объединение, выдвинувшее кандидатов по одномандатным (многомандатным) избирательным округам, избирательный фонд не создает. Кандидат, выдвинутый только в составе списка кандидатов, не вправе создавать собственный избирательный фонд.</w:t>
      </w:r>
    </w:p>
    <w:p>
      <w:pPr>
        <w:pStyle w:val="style22"/>
        <w:rPr/>
      </w:pPr>
      <w:bookmarkStart w:id="689" w:name="Lbl552"/>
      <w:bookmarkEnd w:id="689"/>
      <w:r>
        <w:rPr>
          <w:rStyle w:val="style18"/>
        </w:rPr>
        <w:t>2.</w:t>
      </w:r>
      <w:r>
        <w:rPr/>
        <w:t xml:space="preserve"> Избирательный фонд кандидата может создаваться за счет следующих денежных средств:</w:t>
      </w:r>
    </w:p>
    <w:p>
      <w:pPr>
        <w:pStyle w:val="style22"/>
        <w:rPr/>
      </w:pPr>
      <w:bookmarkStart w:id="690" w:name="Lbl5521"/>
      <w:bookmarkEnd w:id="690"/>
      <w:r>
        <w:rPr>
          <w:rStyle w:val="style18"/>
        </w:rPr>
        <w:t>1)</w:t>
      </w:r>
      <w:r>
        <w:rPr/>
        <w:t xml:space="preserve"> собственных средств кандидата, которые в совокупности не могут превышать 50 тысяч рублей;</w:t>
      </w:r>
    </w:p>
    <w:p>
      <w:pPr>
        <w:pStyle w:val="style22"/>
        <w:rPr/>
      </w:pPr>
      <w:bookmarkStart w:id="691" w:name="Lbl5522"/>
      <w:bookmarkEnd w:id="691"/>
      <w:r>
        <w:rPr>
          <w:rStyle w:val="style18"/>
        </w:rPr>
        <w:t>2)</w:t>
      </w:r>
      <w:r>
        <w:rPr/>
        <w:t xml:space="preserve"> средств, выделенных кандидату выдвинувшим его избирательным объединением, которые в совокупности не могут превышать 50 тысяч рублей;</w:t>
      </w:r>
    </w:p>
    <w:p>
      <w:pPr>
        <w:pStyle w:val="style22"/>
        <w:rPr/>
      </w:pPr>
      <w:bookmarkStart w:id="692" w:name="Lbl5523"/>
      <w:bookmarkEnd w:id="692"/>
      <w:r>
        <w:rPr>
          <w:rStyle w:val="style18"/>
        </w:rPr>
        <w:t>3)</w:t>
      </w:r>
      <w:r>
        <w:rPr/>
        <w:t xml:space="preserve"> добровольных пожертвований граждан в размере, не превышающем 2 тысячи рублей в совокупности для каждого гражданина;</w:t>
      </w:r>
    </w:p>
    <w:p>
      <w:pPr>
        <w:pStyle w:val="style22"/>
        <w:rPr/>
      </w:pPr>
      <w:bookmarkStart w:id="693" w:name="Lbl5524"/>
      <w:bookmarkEnd w:id="693"/>
      <w:r>
        <w:rPr>
          <w:rStyle w:val="style18"/>
        </w:rPr>
        <w:t>4)</w:t>
      </w:r>
      <w:r>
        <w:rPr/>
        <w:t xml:space="preserve"> добровольных пожертвований юридических лиц в размере, не превышающем 20 тысяч рублей в совокупности для каждого юридического лица.</w:t>
      </w:r>
    </w:p>
    <w:p>
      <w:pPr>
        <w:pStyle w:val="style22"/>
        <w:rPr/>
      </w:pPr>
      <w:bookmarkStart w:id="694" w:name="Lbl553"/>
      <w:bookmarkEnd w:id="694"/>
      <w:r>
        <w:rPr>
          <w:rStyle w:val="style18"/>
        </w:rPr>
        <w:t>3.</w:t>
      </w:r>
      <w:r>
        <w:rPr/>
        <w:t xml:space="preserve"> Предельный размер расходования средств избирательного фонда кандидата составляет 500 тысяч рублей.</w:t>
      </w:r>
    </w:p>
    <w:p>
      <w:pPr>
        <w:pStyle w:val="style22"/>
        <w:rPr/>
      </w:pPr>
      <w:bookmarkStart w:id="695" w:name="Lbl554"/>
      <w:bookmarkEnd w:id="695"/>
      <w:r>
        <w:rPr>
          <w:rStyle w:val="style18"/>
        </w:rPr>
        <w:t>4.</w:t>
      </w:r>
      <w:r>
        <w:rPr/>
        <w:t xml:space="preserve"> Избирательный фонд избирательного объединения может создаваться за счет следующих денежных средств:</w:t>
      </w:r>
    </w:p>
    <w:p>
      <w:pPr>
        <w:pStyle w:val="style41"/>
        <w:rPr/>
      </w:pPr>
      <w:bookmarkStart w:id="696" w:name="Lbl5541"/>
      <w:bookmarkEnd w:id="696"/>
      <w:r>
        <w:rPr/>
        <w:t>Законом Рязанской области от 14 мая 2013 г. № 24-ОЗ в пункт 1 части 4 статьи 55 главы 8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пункта в предыдущей редакции</w:t>
      </w:r>
    </w:p>
    <w:p>
      <w:pPr>
        <w:pStyle w:val="style22"/>
        <w:rPr/>
      </w:pPr>
      <w:r>
        <w:rPr>
          <w:rStyle w:val="style18"/>
        </w:rPr>
        <w:t>1)</w:t>
      </w:r>
      <w:r>
        <w:rPr/>
        <w:t xml:space="preserve"> собственных средств избирательного объединения, которые не могут превышать 5 процентов от предельного размера расходования средств избирательного фонда избирательного объединения, установленного </w:t>
      </w:r>
      <w:hyperlink w:anchor="Lbl555">
        <w:r>
          <w:rPr>
            <w:rStyle w:val="style17"/>
          </w:rPr>
          <w:t>частью 5</w:t>
        </w:r>
      </w:hyperlink>
      <w:r>
        <w:rPr/>
        <w:t xml:space="preserve"> настоящей статьи;</w:t>
      </w:r>
    </w:p>
    <w:p>
      <w:pPr>
        <w:pStyle w:val="style22"/>
        <w:rPr/>
      </w:pPr>
      <w:bookmarkStart w:id="697" w:name="Lbl5542"/>
      <w:bookmarkEnd w:id="697"/>
      <w:r>
        <w:rPr>
          <w:rStyle w:val="style18"/>
        </w:rPr>
        <w:t>2)</w:t>
      </w:r>
      <w:r>
        <w:rPr/>
        <w:t xml:space="preserve"> добровольных пожертвований граждан в размере, не превышающем в совокупности для каждого гражданина 0,1 процента от предельного размера расходования средств избирательного фонда избирательного объединения, установленного </w:t>
      </w:r>
      <w:hyperlink w:anchor="Lbl555">
        <w:r>
          <w:rPr>
            <w:rStyle w:val="style17"/>
          </w:rPr>
          <w:t>частью 5</w:t>
        </w:r>
      </w:hyperlink>
      <w:r>
        <w:rPr/>
        <w:t xml:space="preserve"> настоящей статьи;</w:t>
      </w:r>
    </w:p>
    <w:p>
      <w:pPr>
        <w:pStyle w:val="style41"/>
        <w:rPr/>
      </w:pPr>
      <w:bookmarkStart w:id="698" w:name="Lbl5543"/>
      <w:bookmarkEnd w:id="698"/>
      <w:r>
        <w:rPr/>
        <w:t>Законом Рязанской области от 14 мая 2013 г. № 24-ОЗ в пункт 3 части 4 статьи 55 главы 8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пункта в предыдущей редакции</w:t>
      </w:r>
    </w:p>
    <w:p>
      <w:pPr>
        <w:pStyle w:val="style22"/>
        <w:rPr/>
      </w:pPr>
      <w:r>
        <w:rPr>
          <w:rStyle w:val="style18"/>
        </w:rPr>
        <w:t>3)</w:t>
      </w:r>
      <w:r>
        <w:rPr/>
        <w:t xml:space="preserve"> добровольных пожертвований юридических лиц в размере, не превышающем в совокупности для каждого юридического лица 1 процента от предельного размера расходования средств избирательного фонда избирательного объединения, установленного </w:t>
      </w:r>
      <w:hyperlink w:anchor="Lbl555">
        <w:r>
          <w:rPr>
            <w:rStyle w:val="style17"/>
          </w:rPr>
          <w:t>частью 5</w:t>
        </w:r>
      </w:hyperlink>
      <w:r>
        <w:rPr/>
        <w:t xml:space="preserve"> настоящей статьи.</w:t>
      </w:r>
    </w:p>
    <w:p>
      <w:pPr>
        <w:pStyle w:val="style22"/>
        <w:rPr/>
      </w:pPr>
      <w:bookmarkStart w:id="699" w:name="Lbl555"/>
      <w:bookmarkEnd w:id="699"/>
      <w:r>
        <w:rPr>
          <w:rStyle w:val="style18"/>
        </w:rPr>
        <w:t>5.</w:t>
      </w:r>
      <w:r>
        <w:rPr/>
        <w:t xml:space="preserve"> Предельный размер расходования средств избирательного фонда избирательного объединения составляет 8 миллионов рублей.</w:t>
      </w:r>
    </w:p>
    <w:p>
      <w:pPr>
        <w:pStyle w:val="style22"/>
        <w:rPr/>
      </w:pPr>
      <w:bookmarkStart w:id="700" w:name="Lbl556"/>
      <w:bookmarkEnd w:id="700"/>
      <w:r>
        <w:rPr>
          <w:rStyle w:val="style18"/>
        </w:rPr>
        <w:t>6.</w:t>
      </w:r>
      <w:r>
        <w:rPr/>
        <w:t xml:space="preserve"> Запрещается вносить пожертвования в избирательные фонды кандидатов, зарегистрированных кандидатов, избирательных объединений:</w:t>
      </w:r>
    </w:p>
    <w:p>
      <w:pPr>
        <w:pStyle w:val="style22"/>
        <w:rPr/>
      </w:pPr>
      <w:bookmarkStart w:id="701" w:name="Lbl5561"/>
      <w:bookmarkEnd w:id="701"/>
      <w:r>
        <w:rPr>
          <w:rStyle w:val="style18"/>
        </w:rPr>
        <w:t>1)</w:t>
      </w:r>
      <w:r>
        <w:rPr/>
        <w:t xml:space="preserve"> иностранным государствам и иностранным организациям;</w:t>
      </w:r>
    </w:p>
    <w:p>
      <w:pPr>
        <w:pStyle w:val="style22"/>
        <w:rPr/>
      </w:pPr>
      <w:bookmarkStart w:id="702" w:name="Lbl5562"/>
      <w:bookmarkEnd w:id="702"/>
      <w:r>
        <w:rPr>
          <w:rStyle w:val="style18"/>
        </w:rPr>
        <w:t>2)</w:t>
      </w:r>
      <w:r>
        <w:rPr/>
        <w:t xml:space="preserve"> иностранным гражданам, за исключением случая, предусмотренного </w:t>
      </w:r>
      <w:hyperlink w:anchor="Lbl509">
        <w:r>
          <w:rPr>
            <w:rStyle w:val="style17"/>
          </w:rPr>
          <w:t>частью 9 статьи 5</w:t>
        </w:r>
      </w:hyperlink>
      <w:r>
        <w:rPr/>
        <w:t xml:space="preserve"> настоящего Закона;</w:t>
      </w:r>
    </w:p>
    <w:p>
      <w:pPr>
        <w:pStyle w:val="style22"/>
        <w:rPr/>
      </w:pPr>
      <w:bookmarkStart w:id="703" w:name="Lbl5563"/>
      <w:bookmarkEnd w:id="703"/>
      <w:r>
        <w:rPr>
          <w:rStyle w:val="style18"/>
        </w:rPr>
        <w:t>3)</w:t>
      </w:r>
      <w:r>
        <w:rPr/>
        <w:t xml:space="preserve"> лицам без гражданства;</w:t>
      </w:r>
    </w:p>
    <w:p>
      <w:pPr>
        <w:pStyle w:val="style22"/>
        <w:rPr/>
      </w:pPr>
      <w:bookmarkStart w:id="704" w:name="Lbl5564"/>
      <w:bookmarkEnd w:id="704"/>
      <w:r>
        <w:rPr>
          <w:rStyle w:val="style18"/>
        </w:rPr>
        <w:t>4)</w:t>
      </w:r>
      <w:r>
        <w:rPr/>
        <w:t xml:space="preserve"> гражданам Российской Федерации, не достигшим возраста 18 лет на день голосования;</w:t>
      </w:r>
    </w:p>
    <w:p>
      <w:pPr>
        <w:pStyle w:val="style22"/>
        <w:rPr/>
      </w:pPr>
      <w:bookmarkStart w:id="705" w:name="Lbl5565"/>
      <w:bookmarkEnd w:id="705"/>
      <w:r>
        <w:rPr>
          <w:rStyle w:val="style18"/>
        </w:rPr>
        <w:t>5)</w:t>
      </w:r>
      <w:r>
        <w:rPr/>
        <w:t xml:space="preserve">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rPr/>
      </w:pPr>
      <w:bookmarkStart w:id="706" w:name="Lbl5566"/>
      <w:bookmarkEnd w:id="706"/>
      <w:r>
        <w:rPr>
          <w:rStyle w:val="style18"/>
        </w:rPr>
        <w:t>6)</w:t>
      </w:r>
      <w:r>
        <w:rPr/>
        <w:t xml:space="preserve"> международным организациям и международным общественным движениям;</w:t>
      </w:r>
    </w:p>
    <w:p>
      <w:pPr>
        <w:pStyle w:val="style22"/>
        <w:rPr/>
      </w:pPr>
      <w:bookmarkStart w:id="707" w:name="Lbl5567"/>
      <w:bookmarkEnd w:id="707"/>
      <w:r>
        <w:rPr>
          <w:rStyle w:val="style18"/>
        </w:rPr>
        <w:t>7)</w:t>
      </w:r>
      <w:r>
        <w:rPr/>
        <w:t xml:space="preserve"> органам государственной власти, иным государственным органам, органам местного самоуправления;</w:t>
      </w:r>
    </w:p>
    <w:p>
      <w:pPr>
        <w:pStyle w:val="style22"/>
        <w:rPr/>
      </w:pPr>
      <w:bookmarkStart w:id="708" w:name="Lbl5568"/>
      <w:bookmarkEnd w:id="708"/>
      <w:r>
        <w:rPr>
          <w:rStyle w:val="style18"/>
        </w:rPr>
        <w:t>8)</w:t>
      </w:r>
      <w:r>
        <w:rPr/>
        <w:t xml:space="preserve"> государственным и муниципальным учреждениям, государственным и муниципальным унитарным предприятиям;</w:t>
      </w:r>
    </w:p>
    <w:p>
      <w:pPr>
        <w:pStyle w:val="style22"/>
        <w:rPr/>
      </w:pPr>
      <w:bookmarkStart w:id="709" w:name="Lbl5569"/>
      <w:bookmarkEnd w:id="709"/>
      <w:r>
        <w:rPr>
          <w:rStyle w:val="style18"/>
        </w:rPr>
        <w:t>9)</w:t>
      </w:r>
      <w:r>
        <w:rPr/>
        <w:t xml:space="preserve">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rPr/>
      </w:pPr>
      <w:bookmarkStart w:id="710" w:name="Lbl55610"/>
      <w:bookmarkEnd w:id="710"/>
      <w:r>
        <w:rPr>
          <w:rStyle w:val="style18"/>
        </w:rPr>
        <w:t>10)</w:t>
      </w:r>
      <w:r>
        <w:rPr/>
        <w:t xml:space="preserve">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Lbl5565">
        <w:r>
          <w:rPr>
            <w:rStyle w:val="style17"/>
          </w:rPr>
          <w:t>пунктах 5</w:t>
        </w:r>
      </w:hyperlink>
      <w:r>
        <w:rPr/>
        <w:t xml:space="preserve"> и </w:t>
      </w:r>
      <w:hyperlink w:anchor="Lbl5569">
        <w:r>
          <w:rPr>
            <w:rStyle w:val="style17"/>
          </w:rPr>
          <w:t>9</w:t>
        </w:r>
      </w:hyperlink>
      <w:r>
        <w:rPr/>
        <w:t xml:space="preserve"> настоящей части; организациям, имеющим в своем уставном (складочном) капитале долю (вклад) юридических лиц, указанных в </w:t>
      </w:r>
      <w:hyperlink w:anchor="Lbl5565">
        <w:r>
          <w:rPr>
            <w:rStyle w:val="style17"/>
          </w:rPr>
          <w:t>пунктах 5</w:t>
        </w:r>
      </w:hyperlink>
      <w:r>
        <w:rPr/>
        <w:t xml:space="preserve"> и </w:t>
      </w:r>
      <w:hyperlink w:anchor="Lbl5569">
        <w:r>
          <w:rPr>
            <w:rStyle w:val="style17"/>
          </w:rPr>
          <w:t>9</w:t>
        </w:r>
      </w:hyperlink>
      <w:r>
        <w:rP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rPr/>
      </w:pPr>
      <w:bookmarkStart w:id="711" w:name="Lbl55611"/>
      <w:bookmarkEnd w:id="711"/>
      <w:r>
        <w:rPr>
          <w:rStyle w:val="style18"/>
        </w:rPr>
        <w:t>11)</w:t>
      </w:r>
      <w:r>
        <w:rPr/>
        <w:t xml:space="preserve"> воинским частям, военным учреждениям и организациям, правоохранительным органам;</w:t>
      </w:r>
    </w:p>
    <w:p>
      <w:pPr>
        <w:pStyle w:val="style22"/>
        <w:rPr/>
      </w:pPr>
      <w:bookmarkStart w:id="712" w:name="Lbl55612"/>
      <w:bookmarkEnd w:id="712"/>
      <w:r>
        <w:rPr>
          <w:rStyle w:val="style18"/>
        </w:rPr>
        <w:t>12)</w:t>
      </w:r>
      <w:r>
        <w:rPr/>
        <w:t xml:space="preserve"> благотворительным и религиозным организациям, а также учрежденным ими организациям;</w:t>
      </w:r>
    </w:p>
    <w:p>
      <w:pPr>
        <w:pStyle w:val="style22"/>
        <w:rPr/>
      </w:pPr>
      <w:bookmarkStart w:id="713" w:name="Lbl55613"/>
      <w:bookmarkEnd w:id="713"/>
      <w:r>
        <w:rPr>
          <w:rStyle w:val="style18"/>
        </w:rPr>
        <w:t>13)</w:t>
      </w:r>
      <w:r>
        <w:rPr/>
        <w:t xml:space="preserve">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pPr>
        <w:pStyle w:val="style22"/>
        <w:rPr/>
      </w:pPr>
      <w:bookmarkStart w:id="714" w:name="Lbl55614"/>
      <w:bookmarkEnd w:id="714"/>
      <w:r>
        <w:rPr>
          <w:rStyle w:val="style18"/>
        </w:rPr>
        <w:t>14)</w:t>
      </w:r>
      <w:r>
        <w:rPr/>
        <w:t xml:space="preserve"> юридическим лицам, зарегистрированным менее чем за один год до дня голосования на выборах;</w:t>
      </w:r>
    </w:p>
    <w:p>
      <w:pPr>
        <w:pStyle w:val="style22"/>
        <w:rPr/>
      </w:pPr>
      <w:bookmarkStart w:id="715" w:name="Lbl55615"/>
      <w:bookmarkEnd w:id="715"/>
      <w:r>
        <w:rPr>
          <w:rStyle w:val="style18"/>
        </w:rPr>
        <w:t>15)</w:t>
      </w:r>
      <w:r>
        <w:rPr/>
        <w:t xml:space="preserve">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pPr>
        <w:pStyle w:val="style22"/>
        <w:rPr/>
      </w:pPr>
      <w:bookmarkStart w:id="716" w:name="Lbl83"/>
      <w:bookmarkEnd w:id="716"/>
      <w:r>
        <w:rPr/>
        <w:t xml:space="preserve">иностранных государств, а также от указанных в </w:t>
      </w:r>
      <w:hyperlink w:anchor="Lbl5561">
        <w:r>
          <w:rPr>
            <w:rStyle w:val="style17"/>
          </w:rPr>
          <w:t>пунктах 1 — 4</w:t>
        </w:r>
      </w:hyperlink>
      <w:r>
        <w:rPr/>
        <w:t xml:space="preserve">, </w:t>
      </w:r>
      <w:hyperlink w:anchor="Lbl556">
        <w:r>
          <w:rPr>
            <w:rStyle w:val="style17"/>
          </w:rPr>
          <w:t>6 — 8</w:t>
        </w:r>
      </w:hyperlink>
      <w:r>
        <w:rPr/>
        <w:t xml:space="preserve">, </w:t>
      </w:r>
      <w:hyperlink w:anchor="Lbl55611">
        <w:r>
          <w:rPr>
            <w:rStyle w:val="style17"/>
          </w:rPr>
          <w:t>11 — 14</w:t>
        </w:r>
      </w:hyperlink>
      <w:r>
        <w:rPr/>
        <w:t xml:space="preserve"> настоящей части органов, организаций или физических лиц;</w:t>
      </w:r>
    </w:p>
    <w:p>
      <w:pPr>
        <w:pStyle w:val="style22"/>
        <w:rPr/>
      </w:pPr>
      <w:r>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rPr/>
      </w:pPr>
      <w:r>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rPr/>
      </w:pPr>
      <w:r>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style22"/>
        <w:rPr/>
      </w:pPr>
      <w:r>
        <w:rPr/>
        <w:t>организаций, учрежденных юридическими лицами, указанными в абзацах третьем и четвертом настоящего пункта;</w:t>
      </w:r>
    </w:p>
    <w:p>
      <w:pPr>
        <w:pStyle w:val="style22"/>
        <w:rPr/>
      </w:pPr>
      <w:r>
        <w:rPr/>
        <w:t>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rPr/>
      </w:pPr>
      <w:bookmarkStart w:id="717" w:name="Lbl557"/>
      <w:bookmarkEnd w:id="717"/>
      <w:r>
        <w:rPr>
          <w:rStyle w:val="style18"/>
        </w:rPr>
        <w:t>7.</w:t>
      </w:r>
      <w:r>
        <w:rPr/>
        <w:t xml:space="preserve"> Некоммерческие организации, указанные в </w:t>
      </w:r>
      <w:hyperlink w:anchor="Lbl55615">
        <w:r>
          <w:rPr>
            <w:rStyle w:val="style17"/>
          </w:rPr>
          <w:t>пункте 15 части 6</w:t>
        </w:r>
      </w:hyperlink>
      <w:r>
        <w:rP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Lbl83">
        <w:r>
          <w:rPr>
            <w:rStyle w:val="style17"/>
          </w:rPr>
          <w:t>абзацах втором — седьмом пункта 15 части 6</w:t>
        </w:r>
      </w:hyperlink>
      <w:r>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pPr>
        <w:pStyle w:val="style22"/>
        <w:rPr/>
      </w:pPr>
      <w:bookmarkStart w:id="718" w:name="Lbl558"/>
      <w:bookmarkEnd w:id="718"/>
      <w:r>
        <w:rPr>
          <w:rStyle w:val="style18"/>
        </w:rPr>
        <w:t>8.</w:t>
      </w:r>
      <w:r>
        <w:rPr/>
        <w:t xml:space="preserve">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Сберегательного банка Российской Федерации, а при его отсутствии — в других кредитных организациях, расположенных на территории соответствующего избирательного округа. В случае отсутствия на территории избирательного округа кредитной организации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pPr>
        <w:pStyle w:val="style22"/>
        <w:rPr/>
      </w:pPr>
      <w:r>
        <w:rPr/>
        <w:t>На выборах депутатов представительного органа сельского поселения перечисление средств избирательного фонда на специальный избирательный счет необязательно в случае, если расходы на финансирование избирательной кампании кандидата не превышают трех тысяч рублей.</w:t>
      </w:r>
    </w:p>
    <w:p>
      <w:pPr>
        <w:pStyle w:val="style22"/>
        <w:rPr/>
      </w:pPr>
      <w:bookmarkStart w:id="719" w:name="Lbl559"/>
      <w:bookmarkEnd w:id="719"/>
      <w:r>
        <w:rPr>
          <w:rStyle w:val="style18"/>
        </w:rPr>
        <w:t>9.</w:t>
      </w:r>
      <w:r>
        <w:rPr/>
        <w:t xml:space="preserve"> В случае изменения одномандатного (многомандатного) избирательного округа кандидатом по решению избирательного объединения в порядке, установленном </w:t>
      </w:r>
      <w:hyperlink w:anchor="Lbl3016">
        <w:r>
          <w:rPr>
            <w:rStyle w:val="style17"/>
          </w:rPr>
          <w:t>частью 16 статьи 30</w:t>
        </w:r>
      </w:hyperlink>
      <w:r>
        <w:rPr/>
        <w:t xml:space="preserve"> настоящего Закона, после открытия специального избирательного счета кандидат обязан возвратить остатки средств на этом счете гражданам и юридическим лицам, осуществившим пожертвования (перечисления) в избирательный фонд, пропорционально вложенным ими средствам. После этого кандидат обязан представить итоговый финансовый отчет в окружную избирательную комиссию данного одномандатного (многомандатного) избирательного округа, а копию финансового отчета — в окружную избирательную комиссию нового одномандатного (многомандатного) избирательного округа. Открытие специального избирательного счета в новом одномандатном (многомандатном) избирательном округе осуществляется в установленном настоящим Законом порядке.</w:t>
      </w:r>
    </w:p>
    <w:p>
      <w:pPr>
        <w:pStyle w:val="style22"/>
        <w:rPr/>
      </w:pPr>
      <w:bookmarkStart w:id="720" w:name="Lbl5510"/>
      <w:bookmarkEnd w:id="720"/>
      <w:r>
        <w:rPr>
          <w:rStyle w:val="style18"/>
        </w:rPr>
        <w:t>10.</w:t>
      </w:r>
      <w:r>
        <w:rPr/>
        <w:t xml:space="preserve"> Порядок открытия, ведения и закрытия указанных в </w:t>
      </w:r>
      <w:hyperlink w:anchor="Lbl558">
        <w:r>
          <w:rPr>
            <w:rStyle w:val="style17"/>
          </w:rPr>
          <w:t>части 8</w:t>
        </w:r>
      </w:hyperlink>
      <w:r>
        <w:rPr/>
        <w:t xml:space="preserve"> настоящей статьи счетов устанавливается Избирательной комиссией Рязанской области по согласованию с Главным управлением Центрального банка Российской Федерации по Рязанской области. Порядок и формы учета и отчетности о поступлении средств избирательных фондов и расходовании этих средств устанавливаются Избирательной комиссией Рязанской области.</w:t>
      </w:r>
    </w:p>
    <w:p>
      <w:pPr>
        <w:pStyle w:val="style22"/>
        <w:rPr/>
      </w:pPr>
      <w:bookmarkStart w:id="721" w:name="Lbl5511"/>
      <w:bookmarkEnd w:id="721"/>
      <w:r>
        <w:rPr>
          <w:rStyle w:val="style18"/>
        </w:rPr>
        <w:t>11.</w:t>
      </w:r>
      <w:r>
        <w:rPr/>
        <w:t xml:space="preserve"> Добровольные пожертвования граждан в избирательный фонд кандидата, избирательного объединения вносятся лично гражданами из собственных средств в отделение связи или кредитную организацию только по предъявлении паспорта или заменяющего его документа.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информацию о гражданстве.</w:t>
      </w:r>
    </w:p>
    <w:p>
      <w:pPr>
        <w:pStyle w:val="style22"/>
        <w:rPr/>
      </w:pPr>
      <w:bookmarkStart w:id="722" w:name="Lbl5512"/>
      <w:bookmarkEnd w:id="722"/>
      <w:r>
        <w:rPr>
          <w:rStyle w:val="style18"/>
        </w:rPr>
        <w:t>12.</w:t>
      </w:r>
      <w:r>
        <w:rPr/>
        <w:t xml:space="preserve">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Lbl556">
        <w:r>
          <w:rPr>
            <w:rStyle w:val="style17"/>
          </w:rPr>
          <w:t>частью 6</w:t>
        </w:r>
      </w:hyperlink>
      <w:r>
        <w:rPr/>
        <w:t xml:space="preserve"> настоящей статьи.</w:t>
      </w:r>
    </w:p>
    <w:p>
      <w:pPr>
        <w:pStyle w:val="style22"/>
        <w:rPr/>
      </w:pPr>
      <w:bookmarkStart w:id="723" w:name="Lbl5513"/>
      <w:bookmarkEnd w:id="723"/>
      <w:r>
        <w:rPr>
          <w:rStyle w:val="style18"/>
        </w:rPr>
        <w:t>13.</w:t>
      </w:r>
      <w:r>
        <w:rPr/>
        <w:t xml:space="preserve">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Lbl5511">
        <w:r>
          <w:rPr>
            <w:rStyle w:val="style17"/>
          </w:rPr>
          <w:t>частей 11</w:t>
        </w:r>
      </w:hyperlink>
      <w:r>
        <w:rPr/>
        <w:t xml:space="preserve"> и </w:t>
      </w:r>
      <w:hyperlink w:anchor="Lbl5512">
        <w:r>
          <w:rPr>
            <w:rStyle w:val="style17"/>
          </w:rPr>
          <w:t>12</w:t>
        </w:r>
      </w:hyperlink>
      <w:r>
        <w:rP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не позднее чем через десять дней со дня поступления пожертвования на специальный избирательный счет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бюджета соответствующего муниципального образования не позднее чем в десятидневный срок со дня зачисления указанных средств в избирательный фонд кандидата, избирательного объединения.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anchor="Lbl5511">
        <w:r>
          <w:rPr>
            <w:rStyle w:val="style17"/>
          </w:rPr>
          <w:t>частями 11</w:t>
        </w:r>
      </w:hyperlink>
      <w:r>
        <w:rPr/>
        <w:t xml:space="preserve"> и </w:t>
      </w:r>
      <w:hyperlink w:anchor="Lbl5512">
        <w:r>
          <w:rPr>
            <w:rStyle w:val="style17"/>
          </w:rPr>
          <w:t>12</w:t>
        </w:r>
      </w:hyperlink>
      <w:r>
        <w:rP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pPr>
        <w:pStyle w:val="style22"/>
        <w:rPr/>
      </w:pPr>
      <w:bookmarkStart w:id="724" w:name="Lbl5514"/>
      <w:bookmarkEnd w:id="724"/>
      <w:r>
        <w:rPr>
          <w:rStyle w:val="style18"/>
        </w:rPr>
        <w:t>14.</w:t>
      </w:r>
      <w:r>
        <w:rPr/>
        <w:t xml:space="preserve"> При дополнительном выдвижении кандидатов, списков кандидатов при обстоятельствах, указанных в </w:t>
      </w:r>
      <w:hyperlink w:anchor="Lbl3516">
        <w:r>
          <w:rPr>
            <w:rStyle w:val="style17"/>
          </w:rPr>
          <w:t>части 16</w:t>
        </w:r>
      </w:hyperlink>
      <w:r>
        <w:rPr/>
        <w:t xml:space="preserve">, </w:t>
      </w:r>
      <w:hyperlink w:anchor="Lbl35171">
        <w:r>
          <w:rPr>
            <w:rStyle w:val="style17"/>
          </w:rPr>
          <w:t>пунктах 1</w:t>
        </w:r>
      </w:hyperlink>
      <w:r>
        <w:rPr/>
        <w:t xml:space="preserve"> и </w:t>
      </w:r>
      <w:hyperlink w:anchor="Lbl35172">
        <w:r>
          <w:rPr>
            <w:rStyle w:val="style17"/>
          </w:rPr>
          <w:t>2 части 17 статьи 35</w:t>
        </w:r>
      </w:hyperlink>
      <w:r>
        <w:rPr/>
        <w:t xml:space="preserve"> настоящего Закона, предельный размер расходования средств избирательного фонда ранее зарегистрированного кандидата, избирательного объединения, ранее зарегистрировавшего список кандидатов, увеличивается в 1,5 раза.</w:t>
      </w:r>
    </w:p>
    <w:p>
      <w:pPr>
        <w:pStyle w:val="style47"/>
        <w:rPr/>
      </w:pPr>
      <w:bookmarkStart w:id="725" w:name="Lbl56"/>
      <w:bookmarkEnd w:id="725"/>
      <w:r>
        <w:rPr/>
        <w:t>Статья 56</w:t>
      </w:r>
    </w:p>
    <w:p>
      <w:pPr>
        <w:pStyle w:val="style46"/>
        <w:rPr/>
      </w:pPr>
      <w:r>
        <w:rPr>
          <w:rStyle w:val="style18"/>
        </w:rPr>
        <w:t>Статья 56</w:t>
      </w:r>
      <w:r>
        <w:rPr/>
        <w:t>. Порядок расходования средств избирательных фондов</w:t>
      </w:r>
    </w:p>
    <w:p>
      <w:pPr>
        <w:pStyle w:val="style22"/>
        <w:rPr/>
      </w:pPr>
      <w:bookmarkStart w:id="726" w:name="Lbl561"/>
      <w:bookmarkEnd w:id="726"/>
      <w:r>
        <w:rPr>
          <w:rStyle w:val="style18"/>
        </w:rPr>
        <w:t>1.</w:t>
      </w:r>
      <w:r>
        <w:rPr/>
        <w:t xml:space="preserve"> Право распоряжаться средствами избирательных фондов принадлежит создавшим их кандидатам, избирательным объединениям.</w:t>
      </w:r>
    </w:p>
    <w:p>
      <w:pPr>
        <w:pStyle w:val="style22"/>
        <w:rPr/>
      </w:pPr>
      <w:bookmarkStart w:id="727" w:name="Lbl562"/>
      <w:bookmarkEnd w:id="727"/>
      <w:r>
        <w:rPr>
          <w:rStyle w:val="style18"/>
        </w:rPr>
        <w:t>2.</w:t>
      </w:r>
      <w:r>
        <w:rPr/>
        <w:t xml:space="preserve">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pPr>
        <w:pStyle w:val="style22"/>
        <w:rPr/>
      </w:pPr>
      <w:bookmarkStart w:id="728" w:name="Lbl563"/>
      <w:bookmarkEnd w:id="728"/>
      <w:r>
        <w:rPr>
          <w:rStyle w:val="style18"/>
        </w:rPr>
        <w:t>3.</w:t>
      </w:r>
      <w:r>
        <w:rPr/>
        <w:t xml:space="preserve"> Средства избирательных фондов могут использоваться на:</w:t>
      </w:r>
    </w:p>
    <w:p>
      <w:pPr>
        <w:pStyle w:val="style22"/>
        <w:rPr/>
      </w:pPr>
      <w:bookmarkStart w:id="729" w:name="Lbl5631"/>
      <w:bookmarkEnd w:id="729"/>
      <w:r>
        <w:rPr>
          <w:rStyle w:val="style18"/>
        </w:rPr>
        <w:t>1)</w:t>
      </w:r>
      <w:r>
        <w:rPr/>
        <w:t xml:space="preserve">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pPr>
        <w:pStyle w:val="style22"/>
        <w:rPr/>
      </w:pPr>
      <w:bookmarkStart w:id="730" w:name="Lbl5632"/>
      <w:bookmarkEnd w:id="730"/>
      <w:r>
        <w:rPr>
          <w:rStyle w:val="style18"/>
        </w:rPr>
        <w:t>2)</w:t>
      </w:r>
      <w:r>
        <w:rPr/>
        <w:t xml:space="preserve"> предвыборную агитацию, а также на оплату работ (услуг) информационного и консультационного характера;</w:t>
      </w:r>
    </w:p>
    <w:p>
      <w:pPr>
        <w:pStyle w:val="style22"/>
        <w:rPr/>
      </w:pPr>
      <w:bookmarkStart w:id="731" w:name="Lbl5633"/>
      <w:bookmarkEnd w:id="731"/>
      <w:r>
        <w:rPr>
          <w:rStyle w:val="style18"/>
        </w:rPr>
        <w:t>3)</w:t>
      </w:r>
      <w:r>
        <w:rPr/>
        <w:t xml:space="preserve">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pPr>
        <w:pStyle w:val="style22"/>
        <w:rPr/>
      </w:pPr>
      <w:bookmarkStart w:id="732" w:name="Lbl564"/>
      <w:bookmarkEnd w:id="732"/>
      <w:r>
        <w:rPr>
          <w:rStyle w:val="style18"/>
        </w:rPr>
        <w:t>4.</w:t>
      </w:r>
      <w:r>
        <w:rPr/>
        <w:t xml:space="preserve">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pPr>
        <w:pStyle w:val="style22"/>
        <w:rPr/>
      </w:pPr>
      <w:bookmarkStart w:id="733" w:name="Lbl565"/>
      <w:bookmarkEnd w:id="733"/>
      <w:r>
        <w:rPr>
          <w:rStyle w:val="style18"/>
        </w:rPr>
        <w:t>5.</w:t>
      </w:r>
      <w:r>
        <w:rPr/>
        <w:t xml:space="preserve"> Граждане и юридические лица вправе оказывать финансовую поддержку кандидату, избирательному объединению только через соответствующий избирательный фонд кандидата, избирательного объединения. Расходование в целях достижения определенного результата на выборах денежных средств, не перечисленных в избирательный фонд,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w:t>
      </w:r>
    </w:p>
    <w:p>
      <w:pPr>
        <w:pStyle w:val="style22"/>
        <w:rPr/>
      </w:pPr>
      <w:r>
        <w:rPr/>
        <w:t>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pPr>
        <w:pStyle w:val="style22"/>
        <w:rPr/>
      </w:pPr>
      <w:r>
        <w:rPr/>
        <w:t>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pPr>
        <w:pStyle w:val="style22"/>
        <w:rPr/>
      </w:pPr>
      <w:bookmarkStart w:id="734" w:name="Lbl566"/>
      <w:bookmarkEnd w:id="734"/>
      <w:r>
        <w:rPr>
          <w:rStyle w:val="style18"/>
        </w:rPr>
        <w:t>6.</w:t>
      </w:r>
      <w:r>
        <w:rPr/>
        <w:t xml:space="preserve">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поступившие в их избирательные фонды в установленном настоящим Законом порядке. Избирательное объединение, выдвинувшее список кандидатов по единому избирательному округу,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pPr>
        <w:pStyle w:val="style22"/>
        <w:rPr/>
      </w:pPr>
      <w:bookmarkStart w:id="735" w:name="Lbl567"/>
      <w:bookmarkEnd w:id="735"/>
      <w:r>
        <w:rPr>
          <w:rStyle w:val="style18"/>
        </w:rPr>
        <w:t>7.</w:t>
      </w:r>
      <w:r>
        <w:rPr/>
        <w:t xml:space="preserve"> Окружные избирательные комиссии, избирательная комиссия муниципального образования осуществляют контроль за порядком формирования средств избирательных фондов кандидатов, избирательных объединений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w:t>
      </w:r>
    </w:p>
    <w:p>
      <w:pPr>
        <w:pStyle w:val="style22"/>
        <w:rPr/>
      </w:pPr>
      <w:bookmarkStart w:id="736" w:name="Lbl568"/>
      <w:bookmarkEnd w:id="736"/>
      <w:r>
        <w:rPr>
          <w:rStyle w:val="style18"/>
        </w:rPr>
        <w:t>8.</w:t>
      </w:r>
      <w:r>
        <w:rPr/>
        <w:t xml:space="preserve"> Кредитная организация, в которой открыт специальный избирательный счет, по требованию окружной избирательной комиссии, избирательной комиссии муниципального образования,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избирательной комиссии муниципального образования, окружной избирательной комиссии, а по соответствующему избирательному фонду — также по требованию кандидата, избирательного объединения обязана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pPr>
        <w:pStyle w:val="style22"/>
        <w:rPr/>
      </w:pPr>
      <w:bookmarkStart w:id="737" w:name="Lbl569"/>
      <w:bookmarkEnd w:id="737"/>
      <w:r>
        <w:rPr>
          <w:rStyle w:val="style18"/>
        </w:rPr>
        <w:t>9.</w:t>
      </w:r>
      <w:r>
        <w:rPr/>
        <w:t xml:space="preserve"> На основе данных, представленных кредитными организациями — держателями специальных избирательных счетов, соответствующая избирательная комиссия периодически (не позднее чем за 20 дней и не позднее чем за 10 дней до дня голосования) направляет в средства массовой информации для опубликования сведения об общей сумме средств, поступивших в избирательный фонд каждого зарегистрированного кандидата, избирательного объединения, и об общей сумме средств, израсходованных из него.</w:t>
      </w:r>
    </w:p>
    <w:p>
      <w:pPr>
        <w:pStyle w:val="style22"/>
        <w:rPr/>
      </w:pPr>
      <w:r>
        <w:rPr/>
        <w:t>Редакции соответствующих периодических печатных изданий обязаны публиковать указанные сведения в течение трех дней со дня получения.</w:t>
      </w:r>
    </w:p>
    <w:p>
      <w:pPr>
        <w:pStyle w:val="style38"/>
        <w:rPr/>
      </w:pPr>
      <w:bookmarkStart w:id="738" w:name="Lbl57"/>
      <w:bookmarkEnd w:id="738"/>
      <w:r>
        <w:rPr/>
        <w:t>Статья 57 настоящего Закона распространяется на правоотношения, возникшие в связи с проведением выборов, назначенных после дня вступления в силу Закона Рязанской области от 14 мая 2013 г. № 24-ОЗ</w:t>
      </w:r>
    </w:p>
    <w:p>
      <w:pPr>
        <w:pStyle w:val="style41"/>
        <w:rPr/>
      </w:pPr>
      <w:r>
        <w:rPr/>
        <w:t>Законом Рязанской области от 14 мая 2013 г. № 24-ОЗ в наименование статьи 57 главы 8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наименования в предыдущей редакции</w:t>
      </w:r>
    </w:p>
    <w:p>
      <w:pPr>
        <w:pStyle w:val="style47"/>
        <w:rPr/>
      </w:pPr>
      <w:r>
        <w:rPr/>
        <w:t>Статья 57</w:t>
      </w:r>
    </w:p>
    <w:p>
      <w:pPr>
        <w:pStyle w:val="style46"/>
        <w:rPr/>
      </w:pPr>
      <w:r>
        <w:rPr>
          <w:rStyle w:val="style18"/>
        </w:rPr>
        <w:t>Статья 57.</w:t>
      </w:r>
      <w:r>
        <w:rPr/>
        <w:t xml:space="preserve"> Финансовые отчеты кандидатов, избирательных объединений</w:t>
      </w:r>
    </w:p>
    <w:p>
      <w:pPr>
        <w:pStyle w:val="style41"/>
        <w:rPr/>
      </w:pPr>
      <w:bookmarkStart w:id="739" w:name="Lbl571"/>
      <w:bookmarkEnd w:id="739"/>
      <w:r>
        <w:rPr/>
        <w:t>Законом Рязанской области от 14 мая 2013 г. № 24-ОЗ часть 1 статьи 57 главы 8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1.</w:t>
      </w:r>
      <w:r>
        <w:rPr/>
        <w:t xml:space="preserve"> Кандидаты, избирательные объединения представляют в соответствующую избирательную комиссию для регистрации первый финансовый отчет и справку, подтверждающую остаток средств на избирательном счете одновременно с документами, установленными </w:t>
      </w:r>
      <w:hyperlink w:anchor="Lbl33">
        <w:r>
          <w:rPr>
            <w:rStyle w:val="style17"/>
          </w:rPr>
          <w:t>статьей 33</w:t>
        </w:r>
      </w:hyperlink>
      <w:r>
        <w:rPr/>
        <w:t xml:space="preserve"> настоящего Закона. Первый финансовый отчет не представляется, если кандидат уведомил комиссию о том, что не будет создавать избирательный фонд для финансирования своей избирательной кампании.</w:t>
      </w:r>
    </w:p>
    <w:p>
      <w:pPr>
        <w:pStyle w:val="style22"/>
        <w:rPr/>
      </w:pPr>
      <w:r>
        <w:rPr/>
        <w:t>Кандидаты, избирательные объединения предоставляют итоговый финансовый отчет не позднее чем через 30 дней со дня официального опубликования результатов выборов.</w:t>
      </w:r>
    </w:p>
    <w:p>
      <w:pPr>
        <w:pStyle w:val="style22"/>
        <w:rPr/>
      </w:pPr>
      <w:r>
        <w:rPr/>
        <w:t>К итоговому финансовому отчету прилагаются первичные финансовые документы, подтверждающие поступление и расходование средств избирательного фонда. Перечень документов, прилагаемых к первому и итоговому финансовым отчетам, определяется организующей выборы избирательной комиссией.</w:t>
      </w:r>
    </w:p>
    <w:p>
      <w:pPr>
        <w:pStyle w:val="style22"/>
        <w:rPr/>
      </w:pPr>
      <w:bookmarkStart w:id="740" w:name="Lbl572"/>
      <w:bookmarkEnd w:id="740"/>
      <w:r>
        <w:rPr>
          <w:rStyle w:val="style18"/>
        </w:rPr>
        <w:t>2.</w:t>
      </w:r>
      <w:r>
        <w:rPr/>
        <w:t xml:space="preserve"> Если кандидат утратил свой статус, обязанность сдачи итогового финансового отчета возлагается на гражданина, являвшегося кандидатом. Обязанность сдачи итогового финансового отчета избирательным объединением возлагается на уполномоченного представителя по финансовым вопросам данного избирательного объединения.</w:t>
      </w:r>
    </w:p>
    <w:p>
      <w:pPr>
        <w:pStyle w:val="style22"/>
        <w:rPr/>
      </w:pPr>
      <w:bookmarkStart w:id="741" w:name="Lbl573"/>
      <w:bookmarkEnd w:id="741"/>
      <w:r>
        <w:rPr>
          <w:rStyle w:val="style18"/>
        </w:rPr>
        <w:t>3.</w:t>
      </w:r>
      <w:r>
        <w:rPr/>
        <w:t xml:space="preserve"> Копии итоговых финансовых отчетов, указанных в </w:t>
      </w:r>
      <w:hyperlink w:anchor="Lbl571">
        <w:r>
          <w:rPr>
            <w:rStyle w:val="style17"/>
          </w:rPr>
          <w:t>части 1</w:t>
        </w:r>
      </w:hyperlink>
      <w:r>
        <w:rPr/>
        <w:t xml:space="preserve"> настоящей статьи, не позднее чем через пять дней со дня их получения передаются соответственно окружной избирательной комиссией, избирательной комиссией муниципального образования в редакции средств массовой информации для опубликования.</w:t>
      </w:r>
    </w:p>
    <w:p>
      <w:pPr>
        <w:pStyle w:val="style22"/>
        <w:rPr/>
      </w:pPr>
      <w:bookmarkStart w:id="742" w:name="Lbl574"/>
      <w:bookmarkEnd w:id="742"/>
      <w:r>
        <w:rPr>
          <w:rStyle w:val="style18"/>
        </w:rPr>
        <w:t>4.</w:t>
      </w:r>
      <w:r>
        <w:rPr/>
        <w:t xml:space="preserve"> Неизрасходованные денежные средства, находящиеся на специальном избирательном счете после дня голосования, кандидат, избирательное объединение перечисляют гражданам и юридическим лицам, осуществившим пожертвования либо перечисления в их избирательные фонды, пропорционально вложенным средствам за вычетом расходов на пересылку. Кредитная организация обязана по истечении 60 дней со дня голосования по письменному указанию соответствующей избирательной комиссии оставшиеся на специальном избирательном счете неизрасходованные денежные средства перечислить в доход бюджета муниципального образования.</w:t>
      </w:r>
    </w:p>
    <w:p>
      <w:pPr>
        <w:pStyle w:val="style47"/>
        <w:rPr/>
      </w:pPr>
      <w:bookmarkStart w:id="743" w:name="Lbl58"/>
      <w:bookmarkEnd w:id="743"/>
      <w:r>
        <w:rPr/>
        <w:t>Статья 58</w:t>
      </w:r>
    </w:p>
    <w:p>
      <w:pPr>
        <w:pStyle w:val="style46"/>
        <w:rPr/>
      </w:pPr>
      <w:r>
        <w:rPr>
          <w:rStyle w:val="style18"/>
        </w:rPr>
        <w:t>Статья 58</w:t>
      </w:r>
      <w:r>
        <w:rPr/>
        <w:t>. Контрольно-ревизионная служба при избирательных комиссиях</w:t>
      </w:r>
    </w:p>
    <w:p>
      <w:pPr>
        <w:pStyle w:val="style22"/>
        <w:rPr/>
      </w:pPr>
      <w:bookmarkStart w:id="744" w:name="Lbl581"/>
      <w:bookmarkEnd w:id="744"/>
      <w:r>
        <w:rPr>
          <w:rStyle w:val="style18"/>
        </w:rPr>
        <w:t>1.</w:t>
      </w:r>
      <w:r>
        <w:rPr/>
        <w:t xml:space="preserve"> Для осуществления контроля за целевым расходованием денежных средств, выделенных избирательным комиссиям на подготовку и проведение выборов депутатов представительного органа муниципального образования, за источниками поступления средств в избирательные фонды, организацией учета этих средств и их использованием, для проверки итоговых финансовых отчетов кандидатов, избирательных объединений, а также для организации проверок достоверности представленных кандидатами сведений об имуществе, о доходах и об их источниках при избирательной комиссии муниципального образования создается контрольно-ревизионная служба.</w:t>
      </w:r>
    </w:p>
    <w:p>
      <w:pPr>
        <w:pStyle w:val="style22"/>
        <w:rPr/>
      </w:pPr>
      <w:bookmarkStart w:id="745" w:name="Lbl582"/>
      <w:bookmarkEnd w:id="745"/>
      <w:r>
        <w:rPr>
          <w:rStyle w:val="style18"/>
        </w:rPr>
        <w:t>2.</w:t>
      </w:r>
      <w:r>
        <w:rPr/>
        <w:t xml:space="preserve"> Контрольно-ревизионная служба создается с привлечением специалистов (в том числе руководителей) государственных органов, иных органов и организаций, включая территориальные учреждения, расчетно-кассовые центры Центрального банка Российской Федерации, филиалы (отделения) Сберегательного банка Российской Федерации. Указанные органы и организации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соответствующей избирательной комиссии на срок не менее двух месяцев.</w:t>
      </w:r>
    </w:p>
    <w:p>
      <w:pPr>
        <w:pStyle w:val="style22"/>
        <w:rPr/>
      </w:pPr>
      <w:bookmarkStart w:id="746" w:name="Lbl583"/>
      <w:bookmarkEnd w:id="746"/>
      <w:r>
        <w:rPr>
          <w:rStyle w:val="style18"/>
        </w:rPr>
        <w:t>3.</w:t>
      </w:r>
      <w:r>
        <w:rPr/>
        <w:t xml:space="preserve"> На время работы в контрольно-ревизионной службе специалисты, указанные в </w:t>
      </w:r>
      <w:hyperlink w:anchor="Lbl582">
        <w:r>
          <w:rPr>
            <w:rStyle w:val="style17"/>
          </w:rPr>
          <w:t>части 2</w:t>
        </w:r>
      </w:hyperlink>
      <w:r>
        <w:rPr/>
        <w:t xml:space="preserve"> настоящей статьи, освобождаются от основной работы, за ними сохраняются место работы (должность), установленный должностной оклад и иные выплаты по основному месту работы. Указанным специалистам также может выплачиваться вознаграждение за счет средств, выделенных на подготовку и проведение выборов.</w:t>
      </w:r>
    </w:p>
    <w:p>
      <w:pPr>
        <w:pStyle w:val="style22"/>
        <w:rPr/>
      </w:pPr>
      <w:bookmarkStart w:id="747" w:name="Lbl584"/>
      <w:bookmarkEnd w:id="747"/>
      <w:r>
        <w:rPr>
          <w:rStyle w:val="style18"/>
        </w:rPr>
        <w:t>4.</w:t>
      </w:r>
      <w:r>
        <w:rPr/>
        <w:t xml:space="preserve">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при избирательной комиссии осуществляется соответствующей избирательной комиссией.</w:t>
      </w:r>
    </w:p>
    <w:p>
      <w:pPr>
        <w:pStyle w:val="style22"/>
        <w:rPr/>
      </w:pPr>
      <w:bookmarkStart w:id="748" w:name="Lbl585"/>
      <w:bookmarkEnd w:id="748"/>
      <w:r>
        <w:rPr>
          <w:rStyle w:val="style18"/>
        </w:rPr>
        <w:t>5.</w:t>
      </w:r>
      <w:r>
        <w:rPr/>
        <w:t xml:space="preserve"> Контрольно-ревизионная служба по поручению соответствующей избирательной комиссии:</w:t>
      </w:r>
    </w:p>
    <w:p>
      <w:pPr>
        <w:pStyle w:val="style22"/>
        <w:rPr/>
      </w:pPr>
      <w:bookmarkStart w:id="749" w:name="Lbl5851"/>
      <w:bookmarkEnd w:id="749"/>
      <w:r>
        <w:rPr>
          <w:rStyle w:val="style18"/>
        </w:rPr>
        <w:t>1)</w:t>
      </w:r>
      <w:r>
        <w:rPr/>
        <w:t xml:space="preserve"> проверяет итоговые финансовые отчеты кандидатов, избирательных объединений, финансовые отчеты нижестоящих избирательных комиссий;</w:t>
      </w:r>
    </w:p>
    <w:p>
      <w:pPr>
        <w:pStyle w:val="style22"/>
        <w:rPr/>
      </w:pPr>
      <w:bookmarkStart w:id="750" w:name="Lbl5852"/>
      <w:bookmarkEnd w:id="750"/>
      <w:r>
        <w:rPr>
          <w:rStyle w:val="style18"/>
        </w:rPr>
        <w:t>2)</w:t>
      </w:r>
      <w:r>
        <w:rPr/>
        <w:t xml:space="preserve"> организует проверку достоверности представленных кандидатами, уполномоченными представителями избирательных объединений сведений об имуществе, о доходах и об их источниках, о денежных вкладах, ценных бумагах, об акциях и ином участии кандидатов в капитале коммерческих организаций, об имуществе кандидатов, находящемся за пределами территории Российской Федерации, в том числе переданном в доверительное управление;</w:t>
      </w:r>
    </w:p>
    <w:p>
      <w:pPr>
        <w:pStyle w:val="style22"/>
        <w:rPr/>
      </w:pPr>
      <w:bookmarkStart w:id="751" w:name="Lbl5853"/>
      <w:bookmarkEnd w:id="751"/>
      <w:r>
        <w:rPr>
          <w:rStyle w:val="style18"/>
        </w:rPr>
        <w:t>3)</w:t>
      </w:r>
      <w:r>
        <w:rPr/>
        <w:t xml:space="preserve"> контролирует соблюдение установленного порядка финансирования проведения предвыборной агитации, осуществления иных мероприятий, непосредственно связанных с проведением избирательной кампании кандидатами, избирательными объединениями;</w:t>
      </w:r>
    </w:p>
    <w:p>
      <w:pPr>
        <w:pStyle w:val="style22"/>
        <w:rPr/>
      </w:pPr>
      <w:bookmarkStart w:id="752" w:name="Lbl5854"/>
      <w:bookmarkEnd w:id="752"/>
      <w:r>
        <w:rPr>
          <w:rStyle w:val="style18"/>
        </w:rPr>
        <w:t>4)</w:t>
      </w:r>
      <w:r>
        <w:rPr/>
        <w:t xml:space="preserve"> запрашивает и получает от кандидатов, избирательных объединений, избирательных комиссий информацию по всем вопросам, входящим в ее компетенцию;</w:t>
      </w:r>
    </w:p>
    <w:p>
      <w:pPr>
        <w:pStyle w:val="style22"/>
        <w:rPr/>
      </w:pPr>
      <w:bookmarkStart w:id="753" w:name="Lbl5855"/>
      <w:bookmarkEnd w:id="753"/>
      <w:r>
        <w:rPr>
          <w:rStyle w:val="style18"/>
        </w:rPr>
        <w:t>5)</w:t>
      </w:r>
      <w:r>
        <w:rPr/>
        <w:t xml:space="preserve"> обращается в государственные органы и органы местного самоуправления, в организации всех форм собственности, а также к гражданам по вопросам, отнесенным к ведению контрольно-ревизионной службы, запрашивает необходимые сведения и материалы, связанные с финансовым обеспечением выборов. Ответы и материалы по обращениям контрольно-ревизионной службы представляются в десятидневный срок, а за пять и менее дней до дня голосования и в день голосования — немедленно;</w:t>
      </w:r>
    </w:p>
    <w:p>
      <w:pPr>
        <w:pStyle w:val="style22"/>
        <w:rPr/>
      </w:pPr>
      <w:bookmarkStart w:id="754" w:name="Lbl5856"/>
      <w:bookmarkEnd w:id="754"/>
      <w:r>
        <w:rPr>
          <w:rStyle w:val="style18"/>
        </w:rPr>
        <w:t>6)</w:t>
      </w:r>
      <w:r>
        <w:rPr/>
        <w:t xml:space="preserve"> составляет документы о нарушениях при финансировании выборов;</w:t>
      </w:r>
    </w:p>
    <w:p>
      <w:pPr>
        <w:pStyle w:val="style22"/>
        <w:rPr/>
      </w:pPr>
      <w:bookmarkStart w:id="755" w:name="Lbl5857"/>
      <w:bookmarkEnd w:id="755"/>
      <w:r>
        <w:rPr>
          <w:rStyle w:val="style18"/>
        </w:rPr>
        <w:t>7)</w:t>
      </w:r>
      <w:r>
        <w:rPr/>
        <w:t xml:space="preserve"> ставит перед соответствующей избирательной комиссией вопросы о применении мер ответственности к кандидатам, избирательным объединениям, а также к организациям и гражданам за нарушения, допущенные ими при финансировании избирательной кампании;</w:t>
      </w:r>
    </w:p>
    <w:p>
      <w:pPr>
        <w:pStyle w:val="style22"/>
        <w:rPr/>
      </w:pPr>
      <w:bookmarkStart w:id="756" w:name="Lbl5858"/>
      <w:bookmarkEnd w:id="756"/>
      <w:r>
        <w:rPr>
          <w:rStyle w:val="style18"/>
        </w:rPr>
        <w:t>8)</w:t>
      </w:r>
      <w:r>
        <w:rPr/>
        <w:t xml:space="preserve"> привлекает экспертов к проведению проверок, подготовке заключений и экспертных оценок.</w:t>
      </w:r>
    </w:p>
    <w:p>
      <w:pPr>
        <w:pStyle w:val="style22"/>
        <w:rPr/>
      </w:pPr>
      <w:bookmarkStart w:id="757" w:name="Lbl586"/>
      <w:bookmarkEnd w:id="757"/>
      <w:r>
        <w:rPr>
          <w:rStyle w:val="style18"/>
        </w:rPr>
        <w:t>6.</w:t>
      </w:r>
      <w:r>
        <w:rPr/>
        <w:t xml:space="preserve"> При осуществлении своих полномочий контрольно-ревизионная служба может использовать в установленном порядке ГАС «Выборы», ее отдельные технические средства.</w:t>
      </w:r>
    </w:p>
    <w:p>
      <w:pPr>
        <w:pStyle w:val="style47"/>
        <w:rPr/>
      </w:pPr>
      <w:bookmarkStart w:id="758" w:name="Lbl900"/>
      <w:bookmarkEnd w:id="758"/>
      <w:r>
        <w:rPr/>
        <w:t>Справочник наблюдателя — www.nablawiki.ru</w:t>
      </w:r>
    </w:p>
    <w:p>
      <w:pPr>
        <w:pStyle w:val="style2"/>
        <w:rPr/>
      </w:pPr>
      <w:r>
        <w:rPr/>
        <w:t>Глава 9. Голосование, подсчет голосов избирателей, определение результатов выборов депутатов представительного органа муниципального образования</w:t>
      </w:r>
    </w:p>
    <w:p>
      <w:pPr>
        <w:pStyle w:val="style47"/>
        <w:rPr/>
      </w:pPr>
      <w:bookmarkStart w:id="759" w:name="Lbl59"/>
      <w:bookmarkEnd w:id="759"/>
      <w:r>
        <w:rPr/>
        <w:t>Статья 59</w:t>
      </w:r>
    </w:p>
    <w:p>
      <w:pPr>
        <w:pStyle w:val="style46"/>
        <w:rPr/>
      </w:pPr>
      <w:r>
        <w:rPr>
          <w:rStyle w:val="style18"/>
        </w:rPr>
        <w:t>Статья 59</w:t>
      </w:r>
      <w:r>
        <w:rPr/>
        <w:t>. Помещение для голосования</w:t>
      </w:r>
    </w:p>
    <w:p>
      <w:pPr>
        <w:pStyle w:val="style22"/>
        <w:rPr/>
      </w:pPr>
      <w:bookmarkStart w:id="760" w:name="Lbl591"/>
      <w:bookmarkEnd w:id="760"/>
      <w:r>
        <w:rPr>
          <w:rStyle w:val="style18"/>
        </w:rPr>
        <w:t>1.</w:t>
      </w:r>
      <w:r>
        <w:rPr/>
        <w:t xml:space="preserve">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командиром воинской части.</w:t>
      </w:r>
    </w:p>
    <w:p>
      <w:pPr>
        <w:pStyle w:val="style22"/>
        <w:rPr/>
      </w:pPr>
      <w:bookmarkStart w:id="761" w:name="Lbl592"/>
      <w:bookmarkEnd w:id="761"/>
      <w:r>
        <w:rPr>
          <w:rStyle w:val="style18"/>
        </w:rPr>
        <w:t>2.</w:t>
      </w:r>
      <w:r>
        <w:rPr/>
        <w:t xml:space="preserve">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pPr>
        <w:pStyle w:val="style22"/>
        <w:rPr/>
      </w:pPr>
      <w:bookmarkStart w:id="762" w:name="Lbl593"/>
      <w:bookmarkEnd w:id="762"/>
      <w:r>
        <w:rPr>
          <w:rStyle w:val="style18"/>
        </w:rPr>
        <w:t>3.</w:t>
      </w:r>
      <w:r>
        <w:rPr/>
        <w:t xml:space="preserve">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избирательный бюллетень:</w:t>
      </w:r>
    </w:p>
    <w:p>
      <w:pPr>
        <w:pStyle w:val="style22"/>
        <w:rPr/>
      </w:pPr>
      <w:bookmarkStart w:id="763" w:name="Lbl5931"/>
      <w:bookmarkEnd w:id="763"/>
      <w:r>
        <w:rPr>
          <w:rStyle w:val="style18"/>
        </w:rPr>
        <w:t>1)</w:t>
      </w:r>
      <w:r>
        <w:rPr/>
        <w:t xml:space="preserve">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избирательный бюллетень;</w:t>
      </w:r>
    </w:p>
    <w:p>
      <w:pPr>
        <w:pStyle w:val="style22"/>
        <w:rPr/>
      </w:pPr>
      <w:bookmarkStart w:id="764" w:name="Lbl5932"/>
      <w:bookmarkEnd w:id="764"/>
      <w:r>
        <w:rPr>
          <w:rStyle w:val="style18"/>
        </w:rPr>
        <w:t>2)</w:t>
      </w:r>
      <w:r>
        <w:rPr/>
        <w:t xml:space="preserve">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pPr>
        <w:pStyle w:val="style22"/>
        <w:rPr/>
      </w:pPr>
      <w:bookmarkStart w:id="765" w:name="Lbl5933"/>
      <w:bookmarkEnd w:id="765"/>
      <w:r>
        <w:rPr>
          <w:rStyle w:val="style18"/>
        </w:rPr>
        <w:t>3)</w:t>
      </w:r>
      <w:r>
        <w:rPr/>
        <w:t xml:space="preserve"> если кандидат сам выдвинул свою кандидатуру — слово «самовыдвижение»;</w:t>
      </w:r>
    </w:p>
    <w:p>
      <w:pPr>
        <w:pStyle w:val="style22"/>
        <w:rPr/>
      </w:pPr>
      <w:bookmarkStart w:id="766" w:name="Lbl5934"/>
      <w:bookmarkEnd w:id="766"/>
      <w:r>
        <w:rPr>
          <w:rStyle w:val="style18"/>
        </w:rPr>
        <w:t>4)</w:t>
      </w:r>
      <w:r>
        <w:rPr/>
        <w:t xml:space="preserve"> сведения о доходах и об имуществе кандидатов в объеме, установленном избирательной комиссией муниципального образования;</w:t>
      </w:r>
    </w:p>
    <w:p>
      <w:pPr>
        <w:pStyle w:val="style22"/>
        <w:rPr/>
      </w:pPr>
      <w:bookmarkStart w:id="767" w:name="Lbl5935"/>
      <w:bookmarkEnd w:id="767"/>
      <w:r>
        <w:rPr>
          <w:rStyle w:val="style18"/>
        </w:rPr>
        <w:t>5)</w:t>
      </w:r>
      <w:r>
        <w:rPr/>
        <w:t xml:space="preserve"> информацию о фактах представления кандидатами недостоверных сведений, предусмотренных </w:t>
      </w:r>
      <w:hyperlink w:anchor="Lbl271">
        <w:r>
          <w:rPr>
            <w:rStyle w:val="style17"/>
          </w:rPr>
          <w:t>частями 1</w:t>
        </w:r>
      </w:hyperlink>
      <w:r>
        <w:rPr/>
        <w:t xml:space="preserve"> и </w:t>
      </w:r>
      <w:hyperlink w:anchor="Lbl273">
        <w:r>
          <w:rPr>
            <w:rStyle w:val="style17"/>
          </w:rPr>
          <w:t>3 статьи 27</w:t>
        </w:r>
      </w:hyperlink>
      <w:r>
        <w:rPr/>
        <w:t xml:space="preserve">, </w:t>
      </w:r>
      <w:hyperlink w:anchor="Lbl3011">
        <w:r>
          <w:rPr>
            <w:rStyle w:val="style17"/>
          </w:rPr>
          <w:t>частями 1 — 3</w:t>
        </w:r>
      </w:hyperlink>
      <w:r>
        <w:rPr/>
        <w:t xml:space="preserve">, </w:t>
      </w:r>
      <w:hyperlink w:anchor="Lbl312">
        <w:r>
          <w:rPr>
            <w:rStyle w:val="style17"/>
          </w:rPr>
          <w:t>12 статьи 30</w:t>
        </w:r>
      </w:hyperlink>
      <w:r>
        <w:rPr/>
        <w:t xml:space="preserve"> настоящего Закона (если такая информация имеется).</w:t>
      </w:r>
    </w:p>
    <w:p>
      <w:pPr>
        <w:pStyle w:val="style22"/>
        <w:rPr/>
      </w:pPr>
      <w:bookmarkStart w:id="768" w:name="Lbl594"/>
      <w:bookmarkEnd w:id="768"/>
      <w:r>
        <w:rPr>
          <w:rStyle w:val="style18"/>
        </w:rPr>
        <w:t>4.</w:t>
      </w:r>
      <w:r>
        <w:rPr/>
        <w:t xml:space="preserve"> В случае наличия у зарегистрированного кандидата, в том числе из списка кандидатов, неснятой и непогашенной судимости на информационном стенде размещаются сведения о судимостях кандидата.</w:t>
      </w:r>
    </w:p>
    <w:p>
      <w:pPr>
        <w:pStyle w:val="style22"/>
        <w:rPr/>
      </w:pPr>
      <w:bookmarkStart w:id="769" w:name="Lbl595"/>
      <w:bookmarkEnd w:id="769"/>
      <w:r>
        <w:rPr>
          <w:rStyle w:val="style18"/>
        </w:rPr>
        <w:t>5.</w:t>
      </w:r>
      <w:r>
        <w:rPr/>
        <w:t xml:space="preserve">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выборах депутатов представительного органа муниципального образования.</w:t>
      </w:r>
    </w:p>
    <w:p>
      <w:pPr>
        <w:pStyle w:val="style22"/>
        <w:rPr/>
      </w:pPr>
      <w:bookmarkStart w:id="770" w:name="Lbl596"/>
      <w:bookmarkEnd w:id="770"/>
      <w:r>
        <w:rPr>
          <w:rStyle w:val="style18"/>
        </w:rPr>
        <w:t>6.</w:t>
      </w:r>
      <w:r>
        <w:rPr/>
        <w:t xml:space="preserve"> Сведения о зарегистрированных кандидатах, об избирательных объединениях размещаются в информационных материалах в последовательности, определенной при утверждении формы и текста избирательных бюллетеней.</w:t>
      </w:r>
    </w:p>
    <w:p>
      <w:pPr>
        <w:pStyle w:val="style22"/>
        <w:rPr/>
      </w:pPr>
      <w:bookmarkStart w:id="771" w:name="Lbl597"/>
      <w:bookmarkEnd w:id="771"/>
      <w:r>
        <w:rPr>
          <w:rStyle w:val="style18"/>
        </w:rPr>
        <w:t>7.</w:t>
      </w:r>
      <w:r>
        <w:rPr/>
        <w:t xml:space="preserve"> Размещаемые на информационном стенде материалы не должны содержать признаки предвыборной агитации.</w:t>
      </w:r>
    </w:p>
    <w:p>
      <w:pPr>
        <w:pStyle w:val="style22"/>
        <w:rPr/>
      </w:pPr>
      <w:bookmarkStart w:id="772" w:name="Lbl598"/>
      <w:bookmarkEnd w:id="772"/>
      <w:r>
        <w:rPr>
          <w:rStyle w:val="style18"/>
        </w:rPr>
        <w:t>8.</w:t>
      </w:r>
      <w:r>
        <w:rPr/>
        <w:t xml:space="preserve"> Для информирования избирателей, являющихся инвалидами по зрению, на информационном стенде размещаются материалы, указанные в </w:t>
      </w:r>
      <w:hyperlink w:anchor="Lbl593">
        <w:r>
          <w:rPr>
            <w:rStyle w:val="style17"/>
          </w:rPr>
          <w:t>частях 3</w:t>
        </w:r>
      </w:hyperlink>
      <w:r>
        <w:rPr/>
        <w:t xml:space="preserve">, </w:t>
      </w:r>
      <w:hyperlink w:anchor="Lbl594">
        <w:r>
          <w:rPr>
            <w:rStyle w:val="style17"/>
          </w:rPr>
          <w:t>4</w:t>
        </w:r>
      </w:hyperlink>
      <w:r>
        <w:rPr/>
        <w:t xml:space="preserve"> и </w:t>
      </w:r>
      <w:hyperlink w:anchor="Lbl596">
        <w:r>
          <w:rPr>
            <w:rStyle w:val="style17"/>
          </w:rPr>
          <w:t>6</w:t>
        </w:r>
      </w:hyperlink>
      <w:r>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организующей выборы комиссии.</w:t>
      </w:r>
    </w:p>
    <w:p>
      <w:pPr>
        <w:pStyle w:val="style22"/>
        <w:rPr/>
      </w:pPr>
      <w:bookmarkStart w:id="773" w:name="Lbl599"/>
      <w:bookmarkEnd w:id="773"/>
      <w:r>
        <w:rPr>
          <w:rStyle w:val="style18"/>
        </w:rPr>
        <w:t>9.</w:t>
      </w:r>
      <w:r>
        <w:rPr/>
        <w:t xml:space="preserve"> В соответствии с информацией, представленной избирательной комиссией муниципального образования, окружной избирательной комиссией, участковая избирательная комиссия на информационном стенде помещает список всех кандидатов, которые сняли свои кандидатуры после того, как были напечатаны избирательные бюллетени.</w:t>
      </w:r>
    </w:p>
    <w:p>
      <w:pPr>
        <w:pStyle w:val="style22"/>
        <w:rPr/>
      </w:pPr>
      <w:bookmarkStart w:id="774" w:name="Lbl5910"/>
      <w:bookmarkEnd w:id="774"/>
      <w:r>
        <w:rPr>
          <w:rStyle w:val="style18"/>
        </w:rPr>
        <w:t>10.</w:t>
      </w:r>
      <w:r>
        <w:rPr/>
        <w:t xml:space="preserve"> В помещении для голосования должна (должны) находиться увеличенная форма (увеличенные формы) протокола (протоколов) об итогах голосования, предназначенная (предназначенные) для занесения в нее (в них)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pPr>
        <w:pStyle w:val="style22"/>
        <w:rPr/>
      </w:pPr>
      <w:bookmarkStart w:id="775" w:name="Lbl5911"/>
      <w:bookmarkEnd w:id="775"/>
      <w:r>
        <w:rPr>
          <w:rStyle w:val="style18"/>
        </w:rPr>
        <w:t>11.</w:t>
      </w:r>
      <w:r>
        <w:rPr/>
        <w:t xml:space="preserve"> В помещении для голосования размещаются стационарные ящики для голосования.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избирательных бюллетеней. При проведении электронного голосования используются комплексы для электронного голосования.</w:t>
      </w:r>
    </w:p>
    <w:p>
      <w:pPr>
        <w:pStyle w:val="style22"/>
        <w:rPr/>
      </w:pPr>
      <w:bookmarkStart w:id="776" w:name="Lbl5912"/>
      <w:bookmarkEnd w:id="776"/>
      <w:r>
        <w:rPr>
          <w:rStyle w:val="style18"/>
        </w:rPr>
        <w:t>12.</w:t>
      </w:r>
      <w:r>
        <w:rPr/>
        <w:t xml:space="preserve">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и наблюдателей.</w:t>
      </w:r>
    </w:p>
    <w:p>
      <w:pPr>
        <w:pStyle w:val="style47"/>
        <w:rPr/>
      </w:pPr>
      <w:bookmarkStart w:id="777" w:name="Lbl60"/>
      <w:bookmarkEnd w:id="777"/>
      <w:r>
        <w:rPr/>
        <w:t>Статья 60</w:t>
      </w:r>
    </w:p>
    <w:p>
      <w:pPr>
        <w:pStyle w:val="style46"/>
        <w:rPr/>
      </w:pPr>
      <w:r>
        <w:rPr>
          <w:rStyle w:val="style18"/>
        </w:rPr>
        <w:t>Статья 60</w:t>
      </w:r>
      <w:r>
        <w:rPr/>
        <w:t>. Избирательные бюллетени</w:t>
      </w:r>
    </w:p>
    <w:p>
      <w:pPr>
        <w:pStyle w:val="style22"/>
        <w:rPr/>
      </w:pPr>
      <w:bookmarkStart w:id="778" w:name="Lbl6011"/>
      <w:bookmarkEnd w:id="778"/>
      <w:r>
        <w:rPr>
          <w:rStyle w:val="style18"/>
        </w:rPr>
        <w:t>1.</w:t>
      </w:r>
      <w:r>
        <w:rPr/>
        <w:t xml:space="preserve"> Для участия в голосовании на выборах депутатов представительного органа муниципального образования избиратель получает избирательный бюллетень.</w:t>
      </w:r>
    </w:p>
    <w:p>
      <w:pPr>
        <w:pStyle w:val="style22"/>
        <w:rPr/>
      </w:pPr>
      <w:bookmarkStart w:id="779" w:name="Lbl6012"/>
      <w:bookmarkEnd w:id="779"/>
      <w:r>
        <w:rPr>
          <w:rStyle w:val="style18"/>
        </w:rPr>
        <w:t>2.</w:t>
      </w:r>
      <w:r>
        <w:rPr/>
        <w:t xml:space="preserve"> Избирательные бюллетени изготовляются исключительно по распоряжению избирательной комиссии муниципального образования. Нумерация избирательных бюллетеней не допускается. Число изготовленных избирательных бюллетеней не должно более чем на 1,5 процента превышать число зарегистрированных избирателей. Порядок осуществления контроля за изготовлением избирательных бюллетеней утверждается избирательной комиссией муниципального образования не позднее чем за 20 дней до дня голосования.</w:t>
      </w:r>
    </w:p>
    <w:p>
      <w:pPr>
        <w:pStyle w:val="style22"/>
        <w:rPr/>
      </w:pPr>
      <w:bookmarkStart w:id="780" w:name="Lbl6013"/>
      <w:bookmarkEnd w:id="780"/>
      <w:r>
        <w:rPr>
          <w:rStyle w:val="style18"/>
        </w:rPr>
        <w:t>3.</w:t>
      </w:r>
      <w:r>
        <w:rPr/>
        <w:t xml:space="preserve"> В помощь избирателям,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организующей выборы комиссии.</w:t>
      </w:r>
    </w:p>
    <w:p>
      <w:pPr>
        <w:pStyle w:val="style22"/>
        <w:rPr/>
      </w:pPr>
      <w:bookmarkStart w:id="781" w:name="Lbl6014"/>
      <w:bookmarkEnd w:id="781"/>
      <w:r>
        <w:rPr>
          <w:rStyle w:val="style18"/>
        </w:rPr>
        <w:t>4.</w:t>
      </w:r>
      <w:r>
        <w:rPr/>
        <w:t xml:space="preserve"> При изготовлении избирательных бюллетеней используется бумага с нанесенными типографским способом цветным фоном или надписью микрошрифтом и (или) защитной сеткой. Если для проведения выборов депутатов представительного органа муниципального образования применяется мажоритарная избирательная система, предусматривающая образование одномандатных (многомандатных) избирательных округов, численность избирателей в каждом из которых не превышает пяти тысяч, избирательные бюллетени могут быть изготовлены без соблюдения указанных в первом предложении настоящей части требований.</w:t>
      </w:r>
    </w:p>
    <w:p>
      <w:pPr>
        <w:pStyle w:val="style41"/>
        <w:rPr/>
      </w:pPr>
      <w:bookmarkStart w:id="782" w:name="Lbl6015"/>
      <w:bookmarkEnd w:id="782"/>
      <w:r>
        <w:rPr/>
        <w:t>Законом Рязанской области от 14 мая 2013 г. № 24-ОЗ в часть 5 статьи 60 главы 9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5.</w:t>
      </w:r>
      <w:r>
        <w:rPr/>
        <w:t xml:space="preserve"> Форма избирательного бюллетеня (избирательных бюллетеней) утверждается избирательной комиссией муниципального образования не позднее чем за 20 дней до дня голосования.</w:t>
      </w:r>
    </w:p>
    <w:p>
      <w:pPr>
        <w:pStyle w:val="style22"/>
        <w:rPr/>
      </w:pPr>
      <w:bookmarkStart w:id="783" w:name="Lbl6016"/>
      <w:bookmarkEnd w:id="783"/>
      <w:r>
        <w:rPr>
          <w:rStyle w:val="style18"/>
        </w:rPr>
        <w:t>6.</w:t>
      </w:r>
      <w:r>
        <w:rPr/>
        <w:t xml:space="preserve"> Текст избирательного бюллетеня для голосования по единому избирательному округу, число указанных избирательных бюллетеней утверждаются избирательной комиссией муниципального образования не позднее чем за 20 дней до дня голосования.</w:t>
      </w:r>
    </w:p>
    <w:p>
      <w:pPr>
        <w:pStyle w:val="style22"/>
        <w:rPr/>
      </w:pPr>
      <w:bookmarkStart w:id="784" w:name="Lbl6017"/>
      <w:bookmarkEnd w:id="784"/>
      <w:r>
        <w:rPr>
          <w:rStyle w:val="style18"/>
        </w:rPr>
        <w:t>7.</w:t>
      </w:r>
      <w:r>
        <w:rPr/>
        <w:t xml:space="preserve"> Текст избирательного бюллетеня для голосования по одномандатному (многомандатному) избирательному округу, число указанных избирательных бюллетеней утверждаются окружной избирательной комиссией не позднее чем за 20 дней до дня голосования.</w:t>
      </w:r>
    </w:p>
    <w:p>
      <w:pPr>
        <w:pStyle w:val="style22"/>
        <w:rPr/>
      </w:pPr>
      <w:bookmarkStart w:id="785" w:name="Lbl6018"/>
      <w:bookmarkEnd w:id="785"/>
      <w:r>
        <w:rPr>
          <w:rStyle w:val="style18"/>
        </w:rPr>
        <w:t>8.</w:t>
      </w:r>
      <w:r>
        <w:rPr/>
        <w:t xml:space="preserve"> Текст избирательного бюллетеня должен быть размещен только на одной его стороне и должен содержать разъяснение о порядке его заполнения.</w:t>
      </w:r>
    </w:p>
    <w:p>
      <w:pPr>
        <w:pStyle w:val="style22"/>
        <w:rPr/>
      </w:pPr>
      <w:bookmarkStart w:id="786" w:name="Lbl6019"/>
      <w:bookmarkEnd w:id="786"/>
      <w:r>
        <w:rPr>
          <w:rStyle w:val="style18"/>
        </w:rPr>
        <w:t>9.</w:t>
      </w:r>
      <w:r>
        <w:rPr/>
        <w:t xml:space="preserve"> Для выборов депутатов представительного органа муниципального образования по мажоритарной избирательной системе изготавливаются избирательные бюллетени соответственно по одномандатным и (или) многомандатным избирательным округам. Для выборов депутатов представительного органа муниципального образования по смешанной избирательной системе изготавливаются избирательные бюллетени по единому избирательному округу и соответствующим одномандатным и (или) многомандатным избирательным округам. Избирательные бюллетени по единому избирательному округу, избирательные бюллетени по одномандатным (многомандатным) избирательным округам должны соответственно различаться по форме. Для выборов депутатов представительного органа муниципального образования по пропорциональной избирательной системе изготавливаются избирательные бюллетени по единому избирательному округу.</w:t>
      </w:r>
    </w:p>
    <w:p>
      <w:pPr>
        <w:pStyle w:val="style22"/>
        <w:rPr/>
      </w:pPr>
      <w:bookmarkStart w:id="787" w:name="Lbl60110"/>
      <w:bookmarkEnd w:id="787"/>
      <w:r>
        <w:rPr>
          <w:rStyle w:val="style18"/>
        </w:rPr>
        <w:t>10.</w:t>
      </w:r>
      <w:r>
        <w:rPr/>
        <w:t xml:space="preserve"> В избирательном бюллетене по одномандатному (многомандатному) избирательному округу фамилии зарегистрированных кандидатов размещаются в алфавитном порядке, при этом избирательный бюллетень содержит следующие сведения о каждом зарегистрированном кандидате:</w:t>
      </w:r>
    </w:p>
    <w:p>
      <w:pPr>
        <w:pStyle w:val="style22"/>
        <w:rPr/>
      </w:pPr>
      <w:bookmarkStart w:id="788" w:name="Lbl601101"/>
      <w:bookmarkEnd w:id="788"/>
      <w:r>
        <w:rPr>
          <w:rStyle w:val="style18"/>
        </w:rPr>
        <w:t>1)</w:t>
      </w:r>
      <w:r>
        <w:rPr/>
        <w:t xml:space="preserve"> фамилия, имя, отчество;</w:t>
      </w:r>
    </w:p>
    <w:p>
      <w:pPr>
        <w:pStyle w:val="style22"/>
        <w:rPr/>
      </w:pPr>
      <w:bookmarkStart w:id="789" w:name="Lbl601102"/>
      <w:bookmarkEnd w:id="789"/>
      <w:r>
        <w:rPr>
          <w:rStyle w:val="style18"/>
        </w:rPr>
        <w:t>2)</w:t>
      </w:r>
      <w:r>
        <w:rPr/>
        <w:t xml:space="preserve"> год рождения;</w:t>
      </w:r>
    </w:p>
    <w:p>
      <w:pPr>
        <w:pStyle w:val="style22"/>
        <w:rPr/>
      </w:pPr>
      <w:bookmarkStart w:id="790" w:name="Lbl601103"/>
      <w:bookmarkEnd w:id="790"/>
      <w:r>
        <w:rPr>
          <w:rStyle w:val="style18"/>
        </w:rPr>
        <w:t>3)</w:t>
      </w:r>
      <w:r>
        <w:rPr/>
        <w:t xml:space="preserve"> место жительства (наименование субъекта Российской Федерации, района, города, иного населенного пункта);</w:t>
      </w:r>
    </w:p>
    <w:p>
      <w:pPr>
        <w:pStyle w:val="style22"/>
        <w:rPr/>
      </w:pPr>
      <w:bookmarkStart w:id="791" w:name="Lbl601104"/>
      <w:bookmarkEnd w:id="791"/>
      <w:r>
        <w:rPr>
          <w:rStyle w:val="style18"/>
        </w:rPr>
        <w:t>4)</w:t>
      </w:r>
      <w:r>
        <w:rPr/>
        <w:t xml:space="preserve"> основное место работы или службы, занимаемая должность (в случае отсутствия основного места работы или службы — род занятий);</w:t>
      </w:r>
    </w:p>
    <w:p>
      <w:pPr>
        <w:pStyle w:val="style22"/>
        <w:rPr/>
      </w:pPr>
      <w:bookmarkStart w:id="792" w:name="Lbl601105"/>
      <w:bookmarkEnd w:id="792"/>
      <w:r>
        <w:rPr>
          <w:rStyle w:val="style18"/>
        </w:rPr>
        <w:t>5)</w:t>
      </w:r>
      <w:r>
        <w:rPr/>
        <w:t xml:space="preserve">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pPr>
        <w:pStyle w:val="style22"/>
        <w:rPr/>
      </w:pPr>
      <w:bookmarkStart w:id="793" w:name="Lbl601106"/>
      <w:bookmarkEnd w:id="793"/>
      <w:r>
        <w:rPr>
          <w:rStyle w:val="style18"/>
        </w:rPr>
        <w:t>6)</w:t>
      </w:r>
      <w:r>
        <w:rPr/>
        <w:t xml:space="preserve"> если кандидат выдвинут избирательным объединением — слова «выдвинут избирательным объединением» с указанием краткого наименования этого избирательного объединения;</w:t>
      </w:r>
    </w:p>
    <w:p>
      <w:pPr>
        <w:pStyle w:val="style22"/>
        <w:rPr/>
      </w:pPr>
      <w:bookmarkStart w:id="794" w:name="Lbl601107"/>
      <w:bookmarkEnd w:id="794"/>
      <w:r>
        <w:rPr>
          <w:rStyle w:val="style18"/>
        </w:rPr>
        <w:t>7)</w:t>
      </w:r>
      <w:r>
        <w:rPr/>
        <w:t xml:space="preserve"> если кандидат сам выдвинул свою кандидатуру — слово «самовыдвижение».</w:t>
      </w:r>
    </w:p>
    <w:p>
      <w:pPr>
        <w:pStyle w:val="style22"/>
        <w:rPr/>
      </w:pPr>
      <w:r>
        <w:rPr/>
        <w:t xml:space="preserve">Если зарегистрированный кандидат, выдвинутый непосредственно, в соответствии с </w:t>
      </w:r>
      <w:hyperlink w:anchor="Lbl271">
        <w:r>
          <w:rPr>
            <w:rStyle w:val="style17"/>
          </w:rPr>
          <w:t>частью 1 статьи 27</w:t>
        </w:r>
      </w:hyperlink>
      <w:r>
        <w:rP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краткое наименование соответствующей политической партии, иного общественного объединения и статус зарегистрированного кандидата в этой политической партии, ином общественном объединении.</w:t>
      </w:r>
    </w:p>
    <w:p>
      <w:pPr>
        <w:pStyle w:val="style22"/>
        <w:rPr/>
      </w:pPr>
      <w:bookmarkStart w:id="795" w:name="Lbl60111"/>
      <w:bookmarkEnd w:id="795"/>
      <w:r>
        <w:rPr>
          <w:rStyle w:val="style18"/>
        </w:rPr>
        <w:t>11.</w:t>
      </w:r>
      <w:r>
        <w:rPr/>
        <w:t xml:space="preserve"> Если зарегистрированный кандидат, выдвинутый избирательным объединением по одномандатному (многомандатному) избирательному округу, включен также в состав зарегистрированного списка кандидатов, выдвинутого по единому избирательному округу, эти сведения указываются в избирательном бюллетене.</w:t>
      </w:r>
    </w:p>
    <w:p>
      <w:pPr>
        <w:pStyle w:val="style22"/>
        <w:rPr/>
      </w:pPr>
      <w:bookmarkStart w:id="796" w:name="Lbl60112"/>
      <w:bookmarkEnd w:id="796"/>
      <w:r>
        <w:rPr>
          <w:rStyle w:val="style18"/>
        </w:rPr>
        <w:t>12.</w:t>
      </w:r>
      <w:r>
        <w:rPr/>
        <w:t xml:space="preserve"> Если в соответствии с </w:t>
      </w:r>
      <w:hyperlink w:anchor="Lbl3520">
        <w:r>
          <w:rPr>
            <w:rStyle w:val="style17"/>
          </w:rPr>
          <w:t>частью 20 статьи 35</w:t>
        </w:r>
      </w:hyperlink>
      <w:r>
        <w:rPr/>
        <w:t xml:space="preserve"> настоящего Закона голосование проводится по одной кандидатуре, ниже предусмотренных </w:t>
      </w:r>
      <w:hyperlink w:anchor="Lbl60110">
        <w:r>
          <w:rPr>
            <w:rStyle w:val="style17"/>
          </w:rPr>
          <w:t>частями 10</w:t>
        </w:r>
      </w:hyperlink>
      <w:r>
        <w:rPr/>
        <w:t xml:space="preserve">, </w:t>
      </w:r>
      <w:hyperlink w:anchor="Lbl60111">
        <w:r>
          <w:rPr>
            <w:rStyle w:val="style17"/>
          </w:rPr>
          <w:t>11</w:t>
        </w:r>
      </w:hyperlink>
      <w:r>
        <w:rPr/>
        <w:t xml:space="preserve"> и </w:t>
      </w:r>
      <w:hyperlink w:anchor="Lbl60113">
        <w:r>
          <w:rPr>
            <w:rStyle w:val="style17"/>
          </w:rPr>
          <w:t>13</w:t>
        </w:r>
      </w:hyperlink>
      <w:r>
        <w:rP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pPr>
        <w:pStyle w:val="style41"/>
        <w:rPr/>
      </w:pPr>
      <w:bookmarkStart w:id="797" w:name="Lbl60113"/>
      <w:bookmarkEnd w:id="797"/>
      <w:r>
        <w:rPr/>
        <w:t>Законом Рязанской области от 14 мая 2013 г. № 24-ОЗ часть 13 статьи 60 главы 9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13.</w:t>
      </w:r>
      <w:r>
        <w:rPr/>
        <w:t xml:space="preserve"> В избирательном бюллетене по единому избирательному округу в порядке, определяемом по результатам жеребьевки, размещаются краткие наименования избирательных объединений, а также фамилии, имена, отчества трех кандидатов из общемуниципальной части списка (муниципального списка) и кандидатов из соответствующей внутримуниципальной группы муниципального списка, а также эмблемы избирательных объединений (в одноцветном исполнении).</w:t>
      </w:r>
    </w:p>
    <w:p>
      <w:pPr>
        <w:pStyle w:val="style22"/>
        <w:rPr/>
      </w:pPr>
      <w:bookmarkStart w:id="798" w:name="Lbl60114"/>
      <w:bookmarkEnd w:id="798"/>
      <w:r>
        <w:rPr>
          <w:rStyle w:val="style18"/>
        </w:rPr>
        <w:t>14.</w:t>
      </w:r>
      <w:r>
        <w:rPr/>
        <w:t xml:space="preserve"> В случае наличия у зарегистрированного кандидата, внесенного в избирательный бюллетень, неснятой и непогашенной судимости в избирательном бюллетене должны указываться сведения о его судимостях.</w:t>
      </w:r>
    </w:p>
    <w:p>
      <w:pPr>
        <w:pStyle w:val="style22"/>
        <w:rPr/>
      </w:pPr>
      <w:bookmarkStart w:id="799" w:name="Lbl60115"/>
      <w:bookmarkEnd w:id="799"/>
      <w:r>
        <w:rPr>
          <w:rStyle w:val="style18"/>
        </w:rPr>
        <w:t>15.</w:t>
      </w:r>
      <w:r>
        <w:rPr/>
        <w:t xml:space="preserve"> Справа от указанных в </w:t>
      </w:r>
      <w:hyperlink w:anchor="Lbl60110">
        <w:r>
          <w:rPr>
            <w:rStyle w:val="style17"/>
          </w:rPr>
          <w:t>частях 10 — 13</w:t>
        </w:r>
      </w:hyperlink>
      <w:r>
        <w:rPr/>
        <w:t xml:space="preserve"> настоящей статьи сведений о каждом зарегистрированном кандидате, от наименования избирательного объединения помещается пустой квадрат.</w:t>
      </w:r>
    </w:p>
    <w:p>
      <w:pPr>
        <w:pStyle w:val="style22"/>
        <w:rPr/>
      </w:pPr>
      <w:bookmarkStart w:id="800" w:name="Lbl60116"/>
      <w:bookmarkEnd w:id="800"/>
      <w:r>
        <w:rPr>
          <w:rStyle w:val="style18"/>
        </w:rPr>
        <w:t>16.</w:t>
      </w:r>
      <w:r>
        <w:rPr/>
        <w:t xml:space="preserve"> Избирательные бюллетени печатаются на русском языке.</w:t>
      </w:r>
    </w:p>
    <w:p>
      <w:pPr>
        <w:pStyle w:val="style22"/>
        <w:rPr/>
      </w:pPr>
      <w:bookmarkStart w:id="801" w:name="Lbl60117"/>
      <w:bookmarkEnd w:id="801"/>
      <w:r>
        <w:rPr>
          <w:rStyle w:val="style18"/>
        </w:rPr>
        <w:t>17.</w:t>
      </w:r>
      <w:r>
        <w:rPr/>
        <w:t xml:space="preserve"> Изготовленные полиграфической организацией избирательные бюллетени передаются членам избирательной комиссии разместившей заказ на изготовление избирательных бюллетеней, с правом решающего 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заказу, работники полиграфической организации уничтожают лишние избирательные бюллетени (при их выявлении), о чем составляется акт. Избирательная комиссия, разместившая заказ на изготовление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комиссии, уничтожения избирательных бюллетеней.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pPr>
        <w:pStyle w:val="style22"/>
        <w:rPr/>
      </w:pPr>
      <w:bookmarkStart w:id="802" w:name="Lbl60118"/>
      <w:bookmarkEnd w:id="802"/>
      <w:r>
        <w:rPr>
          <w:rStyle w:val="style18"/>
        </w:rPr>
        <w:t>18.</w:t>
      </w:r>
      <w:r>
        <w:rPr/>
        <w:t xml:space="preserve"> Избирательная комиссия, разместившая заказ на изготовление избирательных бюллетеней, после передачи ей избирательных бюллетеней полиграфической организацией передает их по акту непосредственно нижестоящим избирательным комиссиям в срок, установленный избирательной комиссией муниципального образования, на основании своего решения о распределении избирательных бюллетеней. Непосредственно нижестоящие избирательные комиссии передают избирательные бюллетени в таком же порядке нижестоящим избирательным комиссиям, включая участковые избирательные комиссии. 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pPr>
        <w:pStyle w:val="style22"/>
        <w:rPr/>
      </w:pPr>
      <w:bookmarkStart w:id="803" w:name="Lbl60119"/>
      <w:bookmarkEnd w:id="803"/>
      <w:r>
        <w:rPr>
          <w:rStyle w:val="style18"/>
        </w:rPr>
        <w:t>19.</w:t>
      </w:r>
      <w:r>
        <w:rPr/>
        <w:t xml:space="preserve"> Передача избирательных бюллетеней участковым избирательным комиссиям осуществляется не позднее чем за один день до дня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w:t>
      </w:r>
    </w:p>
    <w:p>
      <w:pPr>
        <w:pStyle w:val="style22"/>
        <w:rPr/>
      </w:pPr>
      <w:bookmarkStart w:id="804" w:name="Lbl60120"/>
      <w:bookmarkEnd w:id="804"/>
      <w:r>
        <w:rPr>
          <w:rStyle w:val="style18"/>
        </w:rPr>
        <w:t>20.</w:t>
      </w:r>
      <w:r>
        <w:rPr/>
        <w:t xml:space="preserve">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Lbl60117">
        <w:r>
          <w:rPr>
            <w:rStyle w:val="style17"/>
          </w:rPr>
          <w:t>части 17</w:t>
        </w:r>
      </w:hyperlink>
      <w:r>
        <w:rPr/>
        <w:t xml:space="preserve"> настоящей статьи, или их представители, а также представители избирательных объединений, указанных в </w:t>
      </w:r>
      <w:hyperlink w:anchor="Lbl60117">
        <w:r>
          <w:rPr>
            <w:rStyle w:val="style17"/>
          </w:rPr>
          <w:t>части 17</w:t>
        </w:r>
      </w:hyperlink>
      <w:r>
        <w:rPr/>
        <w:t xml:space="preserve"> настоящей статьи. 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Lbl60117">
        <w:r>
          <w:rPr>
            <w:rStyle w:val="style17"/>
          </w:rPr>
          <w:t>части 17</w:t>
        </w:r>
      </w:hyperlink>
      <w:r>
        <w:rPr/>
        <w:t xml:space="preserve"> настоящей статьи кандидату или не менее чем одному его представителю, не менее чем одному представителю каждого указанного в </w:t>
      </w:r>
      <w:hyperlink w:anchor="Lbl60117">
        <w:r>
          <w:rPr>
            <w:rStyle w:val="style17"/>
          </w:rPr>
          <w:t>части 17</w:t>
        </w:r>
      </w:hyperlink>
      <w:r>
        <w:rPr/>
        <w:t xml:space="preserve">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pPr>
        <w:pStyle w:val="style22"/>
        <w:rPr/>
      </w:pPr>
      <w:bookmarkStart w:id="805" w:name="Lbl60121"/>
      <w:bookmarkEnd w:id="805"/>
      <w:r>
        <w:rPr>
          <w:rStyle w:val="style18"/>
        </w:rPr>
        <w:t>21.</w:t>
      </w:r>
      <w:r>
        <w:rPr/>
        <w:t xml:space="preserve">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pPr>
        <w:pStyle w:val="style22"/>
        <w:rPr/>
      </w:pPr>
      <w:bookmarkStart w:id="806" w:name="Lbl60122"/>
      <w:bookmarkEnd w:id="806"/>
      <w:r>
        <w:rPr>
          <w:rStyle w:val="style18"/>
        </w:rPr>
        <w:t>22.</w:t>
      </w:r>
      <w:r>
        <w:rPr/>
        <w:t xml:space="preserve"> До дня голосования избирательные бюллетени должны храниться в опечатанном и охраняемом помещении.</w:t>
      </w:r>
    </w:p>
    <w:p>
      <w:pPr>
        <w:pStyle w:val="style22"/>
        <w:rPr/>
      </w:pPr>
      <w:bookmarkStart w:id="807" w:name="Lbl60123"/>
      <w:bookmarkEnd w:id="807"/>
      <w:r>
        <w:rPr>
          <w:rStyle w:val="style18"/>
        </w:rPr>
        <w:t>23.</w:t>
      </w:r>
      <w:r>
        <w:rPr/>
        <w:t xml:space="preserve">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w:t>
      </w:r>
    </w:p>
    <w:p>
      <w:pPr>
        <w:pStyle w:val="style22"/>
        <w:rPr/>
      </w:pPr>
      <w:bookmarkStart w:id="808" w:name="Lbl60124"/>
      <w:bookmarkEnd w:id="808"/>
      <w:r>
        <w:rPr>
          <w:rStyle w:val="style18"/>
        </w:rPr>
        <w:t>24.</w:t>
      </w:r>
      <w:r>
        <w:rPr/>
        <w:t xml:space="preserve"> В случае выбытия из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списка кандидатов после изготовления избирательных бюллетеней участковые избирательные комиссии по указанию окружной избирательной комиссии, избирательной комиссии муниципального образования соответственно вычеркивают в избирательных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избирательный бюллетень изменений, касающихся сведений о кандидате, об избирательном объединении, эти изменения по решению окружной избирательной комиссии, избирательной комиссии муниципального образования соответственно могут быть внесены членами участковой избирательной комиссии от руки либо с использованием технических средств.</w:t>
      </w:r>
    </w:p>
    <w:p>
      <w:pPr>
        <w:pStyle w:val="style22"/>
        <w:rPr/>
      </w:pPr>
      <w:bookmarkStart w:id="809" w:name="Lbl60125"/>
      <w:bookmarkEnd w:id="809"/>
      <w:r>
        <w:rPr>
          <w:rStyle w:val="style18"/>
        </w:rPr>
        <w:t>25.</w:t>
      </w:r>
      <w:r>
        <w:rPr/>
        <w:t xml:space="preserve">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w:anchor="Lbl644">
        <w:r>
          <w:rPr>
            <w:rStyle w:val="style17"/>
          </w:rPr>
          <w:t>частью 4 статьи 64</w:t>
        </w:r>
      </w:hyperlink>
      <w:r>
        <w:rPr/>
        <w:t xml:space="preserve"> настоящего Закона. В иных избирательных комиссиях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Lbl213">
        <w:r>
          <w:rPr>
            <w:rStyle w:val="style17"/>
          </w:rPr>
          <w:t>части 3 статьи 21</w:t>
        </w:r>
      </w:hyperlink>
      <w:r>
        <w:rPr/>
        <w:t xml:space="preserve"> настоящего Закона. Эти избирательные бюллетени хранятся секретарем избирательной комиссии вместе с другой документацией избирательной комиссии.</w:t>
      </w:r>
    </w:p>
    <w:p>
      <w:pPr>
        <w:pStyle w:val="style41"/>
        <w:rPr/>
      </w:pPr>
      <w:bookmarkStart w:id="810" w:name="Lbl60126"/>
      <w:bookmarkEnd w:id="810"/>
      <w:r>
        <w:rPr/>
        <w:t>Законом Рязанской области от 14 мая 2013 г. № 24-ОЗ в часть 26 статьи 60 главы 9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26.</w:t>
      </w:r>
      <w:r>
        <w:rPr/>
        <w:t xml:space="preserve"> При проведении выборов депутатов представительного органа муниципального образования с применением комплекса для электронного голосования используется электронный бюллетень. Форма электронного бюллетеня утверждается соответствующей избирательной комиссией не позднее чем за 20 дней до дня голосования. Текст электронного бюллетеня утверждается соответствующей избирательной комиссией не позднее чем за 20 дней до дня голосования. Форма и текст электронного бюллетеня должны соответствовать требованиям, предусмотренным </w:t>
      </w:r>
      <w:hyperlink w:anchor="Lbl60110">
        <w:r>
          <w:rPr>
            <w:rStyle w:val="style17"/>
          </w:rPr>
          <w:t>частями 10 — 16</w:t>
        </w:r>
      </w:hyperlink>
      <w:r>
        <w:rPr/>
        <w:t xml:space="preserve"> настоящей статьи.</w:t>
      </w:r>
    </w:p>
    <w:p>
      <w:pPr>
        <w:pStyle w:val="style47"/>
        <w:rPr/>
      </w:pPr>
      <w:bookmarkStart w:id="811" w:name="Lbl61"/>
      <w:bookmarkEnd w:id="811"/>
      <w:r>
        <w:rPr/>
        <w:t>Статья 61</w:t>
      </w:r>
    </w:p>
    <w:p>
      <w:pPr>
        <w:pStyle w:val="style46"/>
        <w:rPr/>
      </w:pPr>
      <w:r>
        <w:rPr>
          <w:rStyle w:val="style18"/>
        </w:rPr>
        <w:t>Статья 61</w:t>
      </w:r>
      <w:r>
        <w:rPr/>
        <w:t>. Порядок голосования</w:t>
      </w:r>
    </w:p>
    <w:p>
      <w:pPr>
        <w:pStyle w:val="style41"/>
        <w:rPr/>
      </w:pPr>
      <w:bookmarkStart w:id="812" w:name="Lbl611"/>
      <w:bookmarkEnd w:id="812"/>
      <w:r>
        <w:rPr/>
        <w:t>Законом Рязанской области от 14 мая 2013 г. № 24-ОЗ в часть 1 статьи 61 главы 9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1.</w:t>
      </w:r>
      <w:r>
        <w:rPr/>
        <w:t xml:space="preserve"> Участковые и вышестоящие избирательные комиссии оповещают избирателей о месте и времени голосования не позднее чем за 10 дней до дня проведения голосования через средства массовой информации или иным способом.</w:t>
      </w:r>
    </w:p>
    <w:p>
      <w:pPr>
        <w:pStyle w:val="style22"/>
        <w:rPr/>
      </w:pPr>
      <w:bookmarkStart w:id="813" w:name="Lbl612"/>
      <w:bookmarkEnd w:id="813"/>
      <w:r>
        <w:rPr>
          <w:rStyle w:val="style18"/>
        </w:rPr>
        <w:t>2.</w:t>
      </w:r>
      <w:r>
        <w:rPr/>
        <w:t xml:space="preserve"> Голосование проводится с 8.00 до 20.00 часов.</w:t>
      </w:r>
    </w:p>
    <w:p>
      <w:pPr>
        <w:pStyle w:val="style41"/>
        <w:rPr/>
      </w:pPr>
      <w:bookmarkStart w:id="814" w:name="Lbl613"/>
      <w:bookmarkEnd w:id="814"/>
      <w:r>
        <w:rPr/>
        <w:t>Законом Рязанской области от 14 мая 2013 г. № 24-ОЗ в часть 3 статьи 61 главы 9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3.</w:t>
      </w:r>
      <w:r>
        <w:rPr/>
        <w:t xml:space="preserve">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избирательной комиссии, присутствующим лицам, указанным в </w:t>
      </w:r>
      <w:hyperlink w:anchor="Lbl213">
        <w:r>
          <w:rPr>
            <w:rStyle w:val="style17"/>
          </w:rPr>
          <w:t>части 3 статьи 21</w:t>
        </w:r>
      </w:hyperlink>
      <w:r>
        <w:rP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w:t>
      </w:r>
    </w:p>
    <w:p>
      <w:pPr>
        <w:pStyle w:val="style22"/>
        <w:rPr/>
      </w:pPr>
      <w:bookmarkStart w:id="815" w:name="Lbl614"/>
      <w:bookmarkEnd w:id="815"/>
      <w:r>
        <w:rPr>
          <w:rStyle w:val="style18"/>
        </w:rPr>
        <w:t>4.</w:t>
      </w:r>
      <w:r>
        <w:rPr/>
        <w:t xml:space="preserve"> Избирательные бюллетени выдаются избирателям, включенным в список избирателей, по предъявлении паспорта или документа, заменяющего паспорт гражданина.</w:t>
      </w:r>
    </w:p>
    <w:p>
      <w:pPr>
        <w:pStyle w:val="style22"/>
        <w:rPr/>
      </w:pPr>
      <w:bookmarkStart w:id="816" w:name="Lbl615"/>
      <w:bookmarkEnd w:id="816"/>
      <w:r>
        <w:rPr>
          <w:rStyle w:val="style18"/>
        </w:rPr>
        <w:t>5.</w:t>
      </w:r>
      <w:r>
        <w:rPr/>
        <w:t xml:space="preserve"> При получении избирательного бюллетеня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каждого из избирательных бюллетеней. Член участковой избирательной комиссии, выдавший избирателю избирательный бюллетень (избирательные бюллетени), также расписывается в соответствующей графе списка избирателей.</w:t>
      </w:r>
    </w:p>
    <w:p>
      <w:pPr>
        <w:pStyle w:val="style22"/>
        <w:rPr/>
      </w:pPr>
      <w:bookmarkStart w:id="817" w:name="Lbl616"/>
      <w:bookmarkEnd w:id="817"/>
      <w:r>
        <w:rPr>
          <w:rStyle w:val="style18"/>
        </w:rPr>
        <w:t>6.</w:t>
      </w:r>
      <w:r>
        <w:rPr/>
        <w:t xml:space="preserve"> Каждый избиратель голосует лично. Голосование за других избирателей не допускается.</w:t>
      </w:r>
    </w:p>
    <w:p>
      <w:pPr>
        <w:pStyle w:val="style22"/>
        <w:rPr/>
      </w:pPr>
      <w:bookmarkStart w:id="818" w:name="Lbl617"/>
      <w:bookmarkEnd w:id="818"/>
      <w:r>
        <w:rPr>
          <w:rStyle w:val="style18"/>
        </w:rPr>
        <w:t>7.</w:t>
      </w:r>
      <w:r>
        <w:rPr/>
        <w:t xml:space="preserve">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 либо к тому из вариантов волеизъявления, в отношении которого сделан выбор, в соответствии с количеством голосов, которые имеет избиратель.</w:t>
      </w:r>
    </w:p>
    <w:p>
      <w:pPr>
        <w:pStyle w:val="style22"/>
        <w:rPr/>
      </w:pPr>
      <w:bookmarkStart w:id="819" w:name="Lbl618"/>
      <w:bookmarkEnd w:id="819"/>
      <w:r>
        <w:rPr>
          <w:rStyle w:val="style18"/>
        </w:rPr>
        <w:t>8.</w:t>
      </w:r>
      <w:r>
        <w:rPr/>
        <w:t xml:space="preserve"> Избирательный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Lbl619">
        <w:r>
          <w:rPr>
            <w:rStyle w:val="style17"/>
          </w:rPr>
          <w:t>части 9</w:t>
        </w:r>
      </w:hyperlink>
      <w:r>
        <w:rPr/>
        <w:t xml:space="preserve"> настоящей статьи.</w:t>
      </w:r>
    </w:p>
    <w:p>
      <w:pPr>
        <w:pStyle w:val="style22"/>
        <w:rPr/>
      </w:pPr>
      <w:bookmarkStart w:id="820" w:name="Lbl619"/>
      <w:bookmarkEnd w:id="820"/>
      <w:r>
        <w:rPr>
          <w:rStyle w:val="style18"/>
        </w:rPr>
        <w:t>9.</w:t>
      </w:r>
      <w:r>
        <w:rPr/>
        <w:t xml:space="preserve">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pPr>
        <w:pStyle w:val="style22"/>
        <w:rPr/>
      </w:pPr>
      <w:bookmarkStart w:id="821" w:name="Lbl6110"/>
      <w:bookmarkEnd w:id="821"/>
      <w:r>
        <w:rPr>
          <w:rStyle w:val="style18"/>
        </w:rPr>
        <w:t>10.</w:t>
      </w:r>
      <w:r>
        <w:rPr/>
        <w:t xml:space="preserve"> В случае, если избиратель считает, что допустил ошибку при заполнении избирательного бюллетеня,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и делает при этом соответствующую отметку в списке избирателей против фамилии данного избирателя. Испорченный избирательный бюллетень, на котором член избирательной комиссии с правом решающего голоса делает соответствующую запись и заверяет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pPr>
        <w:pStyle w:val="style22"/>
        <w:rPr/>
      </w:pPr>
      <w:bookmarkStart w:id="822" w:name="Lbl6111"/>
      <w:bookmarkEnd w:id="822"/>
      <w:r>
        <w:rPr>
          <w:rStyle w:val="style18"/>
        </w:rPr>
        <w:t>11.</w:t>
      </w:r>
      <w:r>
        <w:rPr/>
        <w:t xml:space="preserve"> Заполненные избирательные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w:t>
      </w:r>
    </w:p>
    <w:p>
      <w:pPr>
        <w:pStyle w:val="style22"/>
        <w:rPr/>
      </w:pPr>
      <w:bookmarkStart w:id="823" w:name="Lbl6112"/>
      <w:bookmarkEnd w:id="823"/>
      <w:r>
        <w:rPr>
          <w:rStyle w:val="style18"/>
        </w:rPr>
        <w:t>12.</w:t>
      </w:r>
      <w:r>
        <w:rPr/>
        <w:t xml:space="preserve">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о выборах. Мотивированное решение об этом принимается участковой избирательной комиссией или вышестоящей избирательной комиссией в письменной форме. Правоохранительные органы обеспечивают исполнение указанного решения и принимают меры по привлечению отстраненного члена участковой избирательной комиссии, а также удаленного наблюдателя и иных лиц к ответственности, предусмотренной федеральными законами.</w:t>
      </w:r>
    </w:p>
    <w:p>
      <w:pPr>
        <w:pStyle w:val="style22"/>
        <w:rPr/>
      </w:pPr>
      <w:bookmarkStart w:id="824" w:name="Lbl6113"/>
      <w:bookmarkEnd w:id="824"/>
      <w:r>
        <w:rPr>
          <w:rStyle w:val="style18"/>
        </w:rPr>
        <w:t>13.</w:t>
      </w:r>
      <w:r>
        <w:rPr/>
        <w:t xml:space="preserve">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pPr>
        <w:pStyle w:val="style41"/>
        <w:rPr/>
      </w:pPr>
      <w:bookmarkStart w:id="825" w:name="Lbl6114"/>
      <w:bookmarkEnd w:id="825"/>
      <w:r>
        <w:rPr/>
        <w:t>Законом Рязанской области от 14 мая 2013 г. № 24-ОЗ в часть 14 статьи 61 главы 9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14.</w:t>
      </w:r>
      <w:r>
        <w:rPr/>
        <w:t xml:space="preserve"> При проведении выборов вместо голосования с использованием избирательных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Рязанской области.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pPr>
        <w:pStyle w:val="style47"/>
        <w:rPr/>
      </w:pPr>
      <w:bookmarkStart w:id="826" w:name="Lbl62"/>
      <w:bookmarkEnd w:id="826"/>
      <w:r>
        <w:rPr/>
        <w:t>Статья 62</w:t>
      </w:r>
    </w:p>
    <w:p>
      <w:pPr>
        <w:pStyle w:val="style46"/>
        <w:rPr/>
      </w:pPr>
      <w:r>
        <w:rPr>
          <w:rStyle w:val="style18"/>
        </w:rPr>
        <w:t>Статья 62</w:t>
      </w:r>
      <w:r>
        <w:rPr/>
        <w:t>. Порядок голосования избирателей вне помещения для голосования</w:t>
      </w:r>
    </w:p>
    <w:p>
      <w:pPr>
        <w:pStyle w:val="style41"/>
        <w:rPr/>
      </w:pPr>
      <w:bookmarkStart w:id="827" w:name="Lbl621"/>
      <w:bookmarkEnd w:id="827"/>
      <w:r>
        <w:rPr/>
        <w:t>Законом Рязанской области от 9 декабря 2011 г. № 117-ОЗ в часть 1 статьи 62 главы 9 настоящего Закона внесены изменения</w:t>
      </w:r>
    </w:p>
    <w:p>
      <w:pPr>
        <w:pStyle w:val="style41"/>
        <w:rPr/>
      </w:pPr>
      <w:r>
        <w:rPr/>
        <w:t>См. текст части в предыдущей редакции</w:t>
      </w:r>
    </w:p>
    <w:p>
      <w:pPr>
        <w:pStyle w:val="style22"/>
        <w:rPr/>
      </w:pPr>
      <w:r>
        <w:rPr>
          <w:rStyle w:val="style18"/>
        </w:rPr>
        <w:t>1.</w:t>
      </w:r>
      <w:r>
        <w:rPr/>
        <w:t xml:space="preserve"> Участковая избирательная комиссия обязана обеспечить возможность участия в голосовании избирателям, которые внесены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 В этих целях в участковой избирательной комиссии должно быть необходимое количество переносных ящиков для голосования вне помещения для голосования, которое определяется непосредственно вышестоящей комиссией, а если при проведении выборов территория единого избирательного округа совпадает с территорией избирательного участка, — решением участковой комиссии. Каждому переносному ящику для голосования вне помещения для голосования участковой избирательной комиссией присваивается порядковый номер. В случае совмещения дней голосования на выборах разных уровней решение принимается комиссией, участвующей в подготовке и проведении выборов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pPr>
        <w:pStyle w:val="style22"/>
        <w:rPr/>
      </w:pPr>
      <w:bookmarkStart w:id="828" w:name="Lbl84"/>
      <w:bookmarkEnd w:id="828"/>
      <w:r>
        <w:rPr>
          <w:rStyle w:val="style18"/>
        </w:rPr>
        <w:t>1)</w:t>
      </w:r>
      <w:r>
        <w:rPr/>
        <w:t xml:space="preserve"> до 501 избирателя — 1 переносной ящик для голосования;</w:t>
      </w:r>
    </w:p>
    <w:p>
      <w:pPr>
        <w:pStyle w:val="style22"/>
        <w:rPr/>
      </w:pPr>
      <w:bookmarkStart w:id="829" w:name="Lbl105"/>
      <w:bookmarkEnd w:id="829"/>
      <w:r>
        <w:rPr>
          <w:rStyle w:val="style18"/>
        </w:rPr>
        <w:t>2)</w:t>
      </w:r>
      <w:r>
        <w:rPr/>
        <w:t xml:space="preserve"> от 501 до 1001 избирателя — 2 переносных ящика для голосования;</w:t>
      </w:r>
    </w:p>
    <w:p>
      <w:pPr>
        <w:pStyle w:val="style22"/>
        <w:rPr/>
      </w:pPr>
      <w:r>
        <w:rPr>
          <w:rStyle w:val="style18"/>
        </w:rPr>
        <w:t>3)</w:t>
      </w:r>
      <w:r>
        <w:rPr/>
        <w:t xml:space="preserve"> более 1000 избирателей — 3 переносных ящика для голосования.</w:t>
      </w:r>
    </w:p>
    <w:p>
      <w:pPr>
        <w:pStyle w:val="style41"/>
        <w:rPr/>
      </w:pPr>
      <w:bookmarkStart w:id="830" w:name="Lbl622"/>
      <w:bookmarkEnd w:id="830"/>
      <w:r>
        <w:rPr/>
        <w:t>Законом Рязанской области от 14 мая 2013 г. № 24-ОЗ в часть 2 статьи 62 главы 9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2.</w:t>
      </w:r>
      <w:r>
        <w:rPr/>
        <w:t xml:space="preserve">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Заявление (обращение) может быть подано избирателем в участковую избирательную комиссию в любое время в течение 10 дней до дня голосования, но не позднее чем за шесть часов до окончания времени голосования. Участковая избирательная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pPr>
        <w:pStyle w:val="style41"/>
        <w:rPr/>
      </w:pPr>
      <w:bookmarkStart w:id="831" w:name="Lbl6221"/>
      <w:bookmarkEnd w:id="831"/>
      <w:r>
        <w:rPr/>
        <w:t>Законом Рязанской области от 9 декабря 2011 г. № 117-ОЗ статья 62 главы 9 настоящего Закона дополнена частью 2.1</w:t>
      </w:r>
    </w:p>
    <w:p>
      <w:pPr>
        <w:pStyle w:val="style22"/>
        <w:rPr/>
      </w:pPr>
      <w:r>
        <w:rPr>
          <w:rStyle w:val="style18"/>
        </w:rPr>
        <w:t>2.1.</w:t>
      </w:r>
      <w:r>
        <w:rPr/>
        <w:t xml:space="preserve"> Решением соответствующей комиссии, указанной в </w:t>
      </w:r>
      <w:hyperlink w:anchor="Lbl621">
        <w:r>
          <w:rPr>
            <w:rStyle w:val="style17"/>
          </w:rPr>
          <w:t>части 1</w:t>
        </w:r>
      </w:hyperlink>
      <w:r>
        <w:rPr/>
        <w:t xml:space="preserve"> настоящей статьи, количество используемых переносных ящиков для голосования вне помещения для голосования, указанное в </w:t>
      </w:r>
      <w:hyperlink w:anchor="Lbl84">
        <w:r>
          <w:rPr>
            <w:rStyle w:val="style17"/>
          </w:rPr>
          <w:t>подпунктах 1</w:t>
        </w:r>
      </w:hyperlink>
      <w:r>
        <w:rPr/>
        <w:t xml:space="preserve"> и </w:t>
      </w:r>
      <w:hyperlink w:anchor="Lbl105">
        <w:r>
          <w:rPr>
            <w:rStyle w:val="style17"/>
          </w:rPr>
          <w:t>2 части 1</w:t>
        </w:r>
      </w:hyperlink>
      <w:r>
        <w:rPr/>
        <w:t xml:space="preserve"> настоящей статьи, может быть увеличено, но не более чем на 1 переносной ящик при наличии хотя бы одного из условий:</w:t>
      </w:r>
    </w:p>
    <w:p>
      <w:pPr>
        <w:pStyle w:val="style22"/>
        <w:rPr/>
      </w:pPr>
      <w:r>
        <w:rPr>
          <w:rStyle w:val="style18"/>
        </w:rPr>
        <w:t>а)</w:t>
      </w:r>
      <w:r>
        <w:rPr/>
        <w:t xml:space="preserve">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style22"/>
        <w:rPr/>
      </w:pPr>
      <w:r>
        <w:rPr>
          <w:rStyle w:val="style18"/>
        </w:rPr>
        <w:t>б)</w:t>
      </w:r>
      <w:r>
        <w:rPr/>
        <w:t xml:space="preserve"> на территории избирательного участка располагается место временного пребывания избирателей, где не образован избирательный участок;</w:t>
      </w:r>
    </w:p>
    <w:p>
      <w:pPr>
        <w:pStyle w:val="style22"/>
        <w:rPr/>
      </w:pPr>
      <w:r>
        <w:rPr>
          <w:rStyle w:val="style18"/>
        </w:rPr>
        <w:t>в)</w:t>
      </w:r>
      <w:r>
        <w:rPr/>
        <w:t xml:space="preserve"> на территории избирательного участка зарегистрировано более 50 избирателей старше 80 лет и (или) инвалидов;</w:t>
      </w:r>
    </w:p>
    <w:p>
      <w:pPr>
        <w:pStyle w:val="style22"/>
        <w:rPr/>
      </w:pPr>
      <w:r>
        <w:rPr>
          <w:rStyle w:val="style18"/>
        </w:rPr>
        <w:t>г)</w:t>
      </w:r>
      <w:r>
        <w:rPr/>
        <w:t xml:space="preserve">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pPr>
        <w:pStyle w:val="style22"/>
        <w:rPr/>
      </w:pPr>
      <w:bookmarkStart w:id="832" w:name="Lbl623"/>
      <w:bookmarkEnd w:id="832"/>
      <w:r>
        <w:rPr>
          <w:rStyle w:val="style18"/>
        </w:rPr>
        <w:t>3.</w:t>
      </w:r>
      <w:r>
        <w:rPr/>
        <w:t xml:space="preserve"> При регистрации устного обращения в реестре, предусмотренном в </w:t>
      </w:r>
      <w:hyperlink w:anchor="Lbl622">
        <w:r>
          <w:rPr>
            <w:rStyle w:val="style17"/>
          </w:rPr>
          <w:t>части 2</w:t>
        </w:r>
      </w:hyperlink>
      <w:r>
        <w:rPr/>
        <w:t xml:space="preserve"> настоящей статьи, указываются время поступления данного обращения, фамилия, имя, отчество избирателя, заявившего о своем намерении проголосовать вне помещения для голосования, адрес его места жительства, а также подпись члена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устное обращение подтверждается письменным заявлением.</w:t>
      </w:r>
    </w:p>
    <w:p>
      <w:pPr>
        <w:pStyle w:val="style22"/>
        <w:rPr/>
      </w:pPr>
      <w:bookmarkStart w:id="833" w:name="Lbl624"/>
      <w:bookmarkEnd w:id="833"/>
      <w:r>
        <w:rPr>
          <w:rStyle w:val="style18"/>
        </w:rPr>
        <w:t>4.</w:t>
      </w:r>
      <w:r>
        <w:rPr/>
        <w:t xml:space="preserve">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pPr>
        <w:pStyle w:val="style22"/>
        <w:rPr/>
      </w:pPr>
      <w:r>
        <w:rPr/>
        <w:t>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w:t>
      </w:r>
    </w:p>
    <w:p>
      <w:pPr>
        <w:pStyle w:val="style41"/>
        <w:rPr/>
      </w:pPr>
      <w:bookmarkStart w:id="834" w:name="Lbl625"/>
      <w:bookmarkEnd w:id="834"/>
      <w:r>
        <w:rPr/>
        <w:t>Законом Рязанской области от 9 декабря 2011 г. № 117-ОЗ в часть 5 статьи 62 главы 9 настоящего Закона внесены изменения</w:t>
      </w:r>
    </w:p>
    <w:p>
      <w:pPr>
        <w:pStyle w:val="style41"/>
        <w:rPr/>
      </w:pPr>
      <w:r>
        <w:rPr/>
        <w:t>См. текст части в предыдущей редакции</w:t>
      </w:r>
    </w:p>
    <w:p>
      <w:pPr>
        <w:pStyle w:val="style22"/>
        <w:rPr/>
      </w:pPr>
      <w:r>
        <w:rPr>
          <w:rStyle w:val="style18"/>
        </w:rPr>
        <w:t>5.</w:t>
      </w:r>
      <w:r>
        <w:rPr/>
        <w:t xml:space="preserve"> Члены участковой избирательной комиссии, выезжающие по заявлениям (устным обращениям), получают избирательные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w:t>
      </w:r>
      <w:hyperlink w:anchor="Lbl622">
        <w:r>
          <w:rPr>
            <w:rStyle w:val="style17"/>
          </w:rPr>
          <w:t>части 2</w:t>
        </w:r>
      </w:hyperlink>
      <w:r>
        <w:rP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письменные принадлежности (за исключением карандашей), необходимые для заполнения избирателем избирательного бюллетеня. Если при проведении голосования вне помещения для голосования присутствует не менее двух лиц из лиц, указанных в </w:t>
      </w:r>
      <w:hyperlink w:anchor="Lbl627">
        <w:r>
          <w:rPr>
            <w:rStyle w:val="style17"/>
          </w:rPr>
          <w:t>части 7</w:t>
        </w:r>
      </w:hyperlink>
      <w:r>
        <w:rP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pPr>
        <w:pStyle w:val="style41"/>
        <w:rPr/>
      </w:pPr>
      <w:bookmarkStart w:id="835" w:name="Lbl626"/>
      <w:bookmarkEnd w:id="835"/>
      <w:r>
        <w:rPr/>
        <w:t>Законом Рязанской области от 9 декабря 2011 г. № 117-ОЗ в часть 6 статьи 62 главы 9 настоящего Закона внесены изменения</w:t>
      </w:r>
    </w:p>
    <w:p>
      <w:pPr>
        <w:pStyle w:val="style41"/>
        <w:rPr/>
      </w:pPr>
      <w:r>
        <w:rPr/>
        <w:t>См. текст части в предыдущей редакции</w:t>
      </w:r>
    </w:p>
    <w:p>
      <w:pPr>
        <w:pStyle w:val="style22"/>
        <w:rPr/>
      </w:pPr>
      <w:r>
        <w:rPr>
          <w:rStyle w:val="style18"/>
        </w:rPr>
        <w:t>6.</w:t>
      </w:r>
      <w:r>
        <w:rPr/>
        <w:t xml:space="preserve">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pPr>
        <w:pStyle w:val="style22"/>
        <w:rPr/>
      </w:pPr>
      <w:bookmarkStart w:id="836" w:name="Lbl627"/>
      <w:bookmarkEnd w:id="836"/>
      <w:r>
        <w:rPr>
          <w:rStyle w:val="style18"/>
        </w:rPr>
        <w:t>7.</w:t>
      </w:r>
      <w:r>
        <w:rPr/>
        <w:t xml:space="preserve">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участковой избирательной комиссии с правом совещательного голоса, наблюдателям, назначенным разными кандидатами, избирательными объединениями, иными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pPr>
        <w:pStyle w:val="style22"/>
        <w:rPr/>
      </w:pPr>
      <w:bookmarkStart w:id="837" w:name="Lbl628"/>
      <w:bookmarkEnd w:id="837"/>
      <w:r>
        <w:rPr>
          <w:rStyle w:val="style18"/>
        </w:rPr>
        <w:t>8.</w:t>
      </w:r>
      <w:r>
        <w:rPr/>
        <w:t xml:space="preserve">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избирательного бюллетеня. С согласия избирателя или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избирательного бюллетеня. В заявлении также делаются отметки о получении нового избирательного бюллетеня взамен испорченного.</w:t>
      </w:r>
    </w:p>
    <w:p>
      <w:pPr>
        <w:pStyle w:val="style22"/>
        <w:rPr/>
      </w:pPr>
      <w:bookmarkStart w:id="838" w:name="Lbl629"/>
      <w:bookmarkEnd w:id="838"/>
      <w:r>
        <w:rPr>
          <w:rStyle w:val="style18"/>
        </w:rPr>
        <w:t>9.</w:t>
      </w:r>
      <w:r>
        <w:rPr/>
        <w:t xml:space="preserve">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Lbl619">
        <w:r>
          <w:rPr>
            <w:rStyle w:val="style17"/>
          </w:rPr>
          <w:t>частью 9 статьи 61</w:t>
        </w:r>
      </w:hyperlink>
      <w:r>
        <w:rPr/>
        <w:t xml:space="preserve"> настоящего Закона.</w:t>
      </w:r>
    </w:p>
    <w:p>
      <w:pPr>
        <w:pStyle w:val="style22"/>
        <w:rPr/>
      </w:pPr>
      <w:bookmarkStart w:id="839" w:name="Lbl6210"/>
      <w:bookmarkEnd w:id="839"/>
      <w:r>
        <w:rPr>
          <w:rStyle w:val="style18"/>
        </w:rPr>
        <w:t>10.</w:t>
      </w:r>
      <w:r>
        <w:rPr/>
        <w:t xml:space="preserve"> Организация голосования вне помещения для голосования проводится с соблюдением требований, предусмотренных в </w:t>
      </w:r>
      <w:hyperlink w:anchor="Lbl61">
        <w:r>
          <w:rPr>
            <w:rStyle w:val="style17"/>
          </w:rPr>
          <w:t>статье 61</w:t>
        </w:r>
      </w:hyperlink>
      <w:r>
        <w:rPr/>
        <w:t xml:space="preserve"> настоящего Закона, и должна исключать возможность нарушения избирательных прав избирателя, а также возможность искажения волеизъявления избирателя.</w:t>
      </w:r>
    </w:p>
    <w:p>
      <w:pPr>
        <w:pStyle w:val="style22"/>
        <w:rPr/>
      </w:pPr>
      <w:bookmarkStart w:id="840" w:name="Lbl6211"/>
      <w:bookmarkEnd w:id="840"/>
      <w:r>
        <w:rPr>
          <w:rStyle w:val="style18"/>
        </w:rPr>
        <w:t>11.</w:t>
      </w:r>
      <w:r>
        <w:rPr/>
        <w:t xml:space="preserve"> Члены участковой избирательной комиссии,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Lbl622">
        <w:r>
          <w:rPr>
            <w:rStyle w:val="style17"/>
          </w:rPr>
          <w:t>частью 2</w:t>
        </w:r>
      </w:hyperlink>
      <w:r>
        <w:rPr/>
        <w:t xml:space="preserve"> настоящей статьи.</w:t>
      </w:r>
    </w:p>
    <w:p>
      <w:pPr>
        <w:pStyle w:val="style22"/>
        <w:rPr/>
      </w:pPr>
      <w:bookmarkStart w:id="841" w:name="Lbl6212"/>
      <w:bookmarkEnd w:id="841"/>
      <w:r>
        <w:rPr>
          <w:rStyle w:val="style18"/>
        </w:rPr>
        <w:t>12.</w:t>
      </w:r>
      <w:r>
        <w:rPr/>
        <w:t xml:space="preserve"> Если избиратель, от которого поступило заявление (устное обращение) о предоставлении возможности проголосовать вне помещения для голосования, прибыл в помещение участковой избирательной комиссии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ему в помещении участковой избирательной комиссии избирательный бюллетень до возвращения членов участковой избирательной комиссии, выезжавших по заявлению (обращению) данного избирателя, и установления факта, что голосование указанным избирателем не производилось.</w:t>
      </w:r>
    </w:p>
    <w:p>
      <w:pPr>
        <w:pStyle w:val="style22"/>
        <w:rPr/>
      </w:pPr>
      <w:bookmarkStart w:id="842" w:name="Lbl6213"/>
      <w:bookmarkEnd w:id="842"/>
      <w:r>
        <w:rPr>
          <w:rStyle w:val="style18"/>
        </w:rPr>
        <w:t>13.</w:t>
      </w:r>
      <w:r>
        <w:rPr/>
        <w:t xml:space="preserve">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делается особая отметка: «Голосовал вне помещения для голосования», а также ставятся подписи указанных членов участковой избирательной комиссии.</w:t>
      </w:r>
    </w:p>
    <w:p>
      <w:pPr>
        <w:pStyle w:val="style22"/>
        <w:rPr/>
      </w:pPr>
      <w:bookmarkStart w:id="843" w:name="Lbl6214"/>
      <w:bookmarkEnd w:id="843"/>
      <w:r>
        <w:rPr>
          <w:rStyle w:val="style18"/>
        </w:rPr>
        <w:t>14.</w:t>
      </w:r>
      <w:r>
        <w:rPr/>
        <w:t xml:space="preserve">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pPr>
        <w:pStyle w:val="style22"/>
        <w:rPr/>
      </w:pPr>
      <w:bookmarkStart w:id="844" w:name="Lbl6215"/>
      <w:bookmarkEnd w:id="844"/>
      <w:r>
        <w:rPr>
          <w:rStyle w:val="style18"/>
        </w:rPr>
        <w:t>15.</w:t>
      </w:r>
      <w:r>
        <w:rPr/>
        <w:t xml:space="preserve"> Переносные ящики для голосования должны находиться на виду у членов участковой избирательной комиссии, наблюдателей, иностранных (международных) наблюдателей, а также представителей средств массовой информации и не могут вскрываться до начала подсчета голосов избирателей.</w:t>
      </w:r>
    </w:p>
    <w:p>
      <w:pPr>
        <w:pStyle w:val="style47"/>
        <w:rPr/>
      </w:pPr>
      <w:bookmarkStart w:id="845" w:name="Lbl63"/>
      <w:bookmarkEnd w:id="845"/>
      <w:r>
        <w:rPr/>
        <w:t>Статья 63</w:t>
      </w:r>
    </w:p>
    <w:p>
      <w:pPr>
        <w:pStyle w:val="style46"/>
        <w:rPr/>
      </w:pPr>
      <w:r>
        <w:rPr>
          <w:rStyle w:val="style18"/>
        </w:rPr>
        <w:t>Статья 63.</w:t>
      </w:r>
      <w:r>
        <w:rPr/>
        <w:t xml:space="preserve"> Протокол (протоколы) участковой избирательной комиссии об итогах голосования</w:t>
      </w:r>
    </w:p>
    <w:p>
      <w:pPr>
        <w:pStyle w:val="style22"/>
        <w:rPr/>
      </w:pPr>
      <w:bookmarkStart w:id="846" w:name="Lbl631"/>
      <w:bookmarkEnd w:id="846"/>
      <w:r>
        <w:rPr>
          <w:rStyle w:val="style18"/>
        </w:rPr>
        <w:t>1.</w:t>
      </w:r>
      <w:r>
        <w:rPr/>
        <w:t xml:space="preserve"> При проведении выборов по мажоритарной избирательной системе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по одномандатному (многомандатному) избирательному округу. При проведении выборов по пропорциональной избирательной системе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по единому избирательному округу.</w:t>
      </w:r>
    </w:p>
    <w:p>
      <w:pPr>
        <w:pStyle w:val="style22"/>
        <w:rPr/>
      </w:pPr>
      <w:bookmarkStart w:id="847" w:name="Lbl632"/>
      <w:bookmarkEnd w:id="847"/>
      <w:r>
        <w:rPr>
          <w:rStyle w:val="style18"/>
        </w:rPr>
        <w:t>2.</w:t>
      </w:r>
      <w:r>
        <w:rPr/>
        <w:t xml:space="preserve"> При проведении выборов по смешанной избирательной системе участковая избирательная комиссия оформляет свои решения об итогах голосования двумя протоколами об итогах голосования на соответствующем избирательном участке: протоколом об итогах голосования по одномандатному (многомандатному) избирательному округу (протокол № 1 об итогах голосования) и протоколом об итогах голосования по единому избирательному округу (протокол № 2 об итогах голосования).</w:t>
      </w:r>
    </w:p>
    <w:p>
      <w:pPr>
        <w:pStyle w:val="style41"/>
        <w:rPr/>
      </w:pPr>
      <w:bookmarkStart w:id="848" w:name="Lbl6321"/>
      <w:bookmarkEnd w:id="848"/>
      <w:r>
        <w:rPr/>
        <w:t>Законом Рязанской области от 14 мая 2013 г. № 24-ОЗ статья 63 главы 9 настоящего Закона дополнена частью 2.1, вступающей в силу через десять дней после дня официального опубликования названного Закона</w:t>
      </w:r>
    </w:p>
    <w:p>
      <w:pPr>
        <w:pStyle w:val="style22"/>
        <w:rPr/>
      </w:pPr>
      <w:r>
        <w:rPr>
          <w:rStyle w:val="style18"/>
        </w:rPr>
        <w:t>2.1.</w:t>
      </w:r>
      <w:r>
        <w:rPr/>
        <w:t xml:space="preserve"> Протокол об итогах голосования может быть составлен в электронном виде.</w:t>
      </w:r>
    </w:p>
    <w:p>
      <w:pPr>
        <w:pStyle w:val="style41"/>
        <w:rPr/>
      </w:pPr>
      <w:bookmarkStart w:id="849" w:name="Lbl633"/>
      <w:bookmarkEnd w:id="849"/>
      <w:r>
        <w:rPr/>
        <w:t>Законом Рязанской области от 14 мая 2013 г. № 24-ОЗ в часть 3 статьи 63 главы 9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3.</w:t>
      </w:r>
      <w:r>
        <w:rPr/>
        <w:t xml:space="preserve">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из указанных в </w:t>
      </w:r>
      <w:hyperlink w:anchor="Lbl631">
        <w:r>
          <w:rPr>
            <w:rStyle w:val="style17"/>
          </w:rPr>
          <w:t>частях 1</w:t>
        </w:r>
      </w:hyperlink>
      <w:r>
        <w:rPr/>
        <w:t xml:space="preserve"> и </w:t>
      </w:r>
      <w:hyperlink w:anchor="Lbl632">
        <w:r>
          <w:rPr>
            <w:rStyle w:val="style17"/>
          </w:rPr>
          <w:t>2</w:t>
        </w:r>
      </w:hyperlink>
      <w:r>
        <w:rPr/>
        <w:t xml:space="preserve"> настоящей статьи протоколов об итогах голосования должен содержать:</w:t>
      </w:r>
    </w:p>
    <w:p>
      <w:pPr>
        <w:pStyle w:val="style22"/>
        <w:rPr/>
      </w:pPr>
      <w:bookmarkStart w:id="850" w:name="Lbl6331"/>
      <w:bookmarkEnd w:id="850"/>
      <w:r>
        <w:rPr>
          <w:rStyle w:val="style18"/>
        </w:rPr>
        <w:t>1)</w:t>
      </w:r>
      <w:r>
        <w:rPr/>
        <w:t xml:space="preserve"> номер экземпляра;</w:t>
      </w:r>
    </w:p>
    <w:p>
      <w:pPr>
        <w:pStyle w:val="style22"/>
        <w:rPr/>
      </w:pPr>
      <w:bookmarkStart w:id="851" w:name="Lbl6332"/>
      <w:bookmarkEnd w:id="851"/>
      <w:r>
        <w:rPr>
          <w:rStyle w:val="style18"/>
        </w:rPr>
        <w:t>2)</w:t>
      </w:r>
      <w:r>
        <w:rPr/>
        <w:t xml:space="preserve"> название выборов, дату голосования;</w:t>
      </w:r>
    </w:p>
    <w:p>
      <w:pPr>
        <w:pStyle w:val="style22"/>
        <w:rPr/>
      </w:pPr>
      <w:bookmarkStart w:id="852" w:name="Lbl6333"/>
      <w:bookmarkEnd w:id="852"/>
      <w:r>
        <w:rPr>
          <w:rStyle w:val="style18"/>
        </w:rPr>
        <w:t>3)</w:t>
      </w:r>
      <w:r>
        <w:rPr/>
        <w:t xml:space="preserve"> слово «Протокол», в случае, предусмотренном </w:t>
      </w:r>
      <w:hyperlink w:anchor="Lbl632">
        <w:r>
          <w:rPr>
            <w:rStyle w:val="style17"/>
          </w:rPr>
          <w:t>частью 2</w:t>
        </w:r>
      </w:hyperlink>
      <w:r>
        <w:rPr/>
        <w:t xml:space="preserve"> настоящей статьи, — с указанием порядкового номера протокола;</w:t>
      </w:r>
    </w:p>
    <w:p>
      <w:pPr>
        <w:pStyle w:val="style22"/>
        <w:rPr/>
      </w:pPr>
      <w:bookmarkStart w:id="853" w:name="Lbl6334"/>
      <w:bookmarkEnd w:id="853"/>
      <w:r>
        <w:rPr>
          <w:rStyle w:val="style18"/>
        </w:rPr>
        <w:t>4)</w:t>
      </w:r>
      <w:r>
        <w:rPr/>
        <w:t xml:space="preserve"> адрес помещения для голосования с указанием номера избирательного участка;</w:t>
      </w:r>
    </w:p>
    <w:p>
      <w:pPr>
        <w:pStyle w:val="style22"/>
        <w:rPr/>
      </w:pPr>
      <w:bookmarkStart w:id="854" w:name="Lbl6335"/>
      <w:bookmarkEnd w:id="854"/>
      <w:r>
        <w:rPr>
          <w:rStyle w:val="style18"/>
        </w:rPr>
        <w:t>5)</w:t>
      </w:r>
      <w:r>
        <w:rPr/>
        <w:t xml:space="preserve"> строки протокола в следующей последовательности:</w:t>
      </w:r>
    </w:p>
    <w:p>
      <w:pPr>
        <w:pStyle w:val="style22"/>
        <w:rPr/>
      </w:pPr>
      <w:r>
        <w:rPr/>
        <w:t>строка 1: число избирателей, внесенных в список избирателей на момент окончания голосования;</w:t>
      </w:r>
    </w:p>
    <w:p>
      <w:pPr>
        <w:pStyle w:val="style22"/>
        <w:rPr/>
      </w:pPr>
      <w:r>
        <w:rPr/>
        <w:t>строка 2: число избирательных бюллетеней, полученных участковой избирательной комиссией;</w:t>
      </w:r>
    </w:p>
    <w:p>
      <w:pPr>
        <w:pStyle w:val="style22"/>
        <w:rPr/>
      </w:pPr>
      <w:r>
        <w:rPr/>
        <w:t>строка 3: число избирательных бюллетеней, выданных избирателям в помещении для голосования в день голосования;</w:t>
      </w:r>
    </w:p>
    <w:p>
      <w:pPr>
        <w:pStyle w:val="style22"/>
        <w:rPr/>
      </w:pPr>
      <w:r>
        <w:rPr/>
        <w:t>строка 4: число избирательных бюллетеней, выданных избирателям, проголосовавшим вне помещения для голосования в день голосования;</w:t>
      </w:r>
    </w:p>
    <w:p>
      <w:pPr>
        <w:pStyle w:val="style22"/>
        <w:rPr/>
      </w:pPr>
      <w:r>
        <w:rPr/>
        <w:t>строка 5: число погашенных избирательных бюллетеней;</w:t>
      </w:r>
    </w:p>
    <w:p>
      <w:pPr>
        <w:pStyle w:val="style22"/>
        <w:rPr/>
      </w:pPr>
      <w:r>
        <w:rPr/>
        <w:t>строка 6: число избирательных бюллетеней, содержащихся в переносных ящиках для голосования;</w:t>
      </w:r>
    </w:p>
    <w:p>
      <w:pPr>
        <w:pStyle w:val="style22"/>
        <w:rPr/>
      </w:pPr>
      <w:r>
        <w:rPr/>
        <w:t>строка 7: число избирательных бюллетеней, содержащихся в стационарных ящиках для голосования;</w:t>
      </w:r>
    </w:p>
    <w:p>
      <w:pPr>
        <w:pStyle w:val="style22"/>
        <w:rPr/>
      </w:pPr>
      <w:r>
        <w:rPr/>
        <w:t>строка 8: число недействительных избирательных бюллетеней;</w:t>
      </w:r>
    </w:p>
    <w:p>
      <w:pPr>
        <w:pStyle w:val="style22"/>
        <w:rPr/>
      </w:pPr>
      <w:r>
        <w:rPr/>
        <w:t>строка 9: число действительных избирательных бюллетеней;</w:t>
      </w:r>
    </w:p>
    <w:p>
      <w:pPr>
        <w:pStyle w:val="style22"/>
        <w:rPr/>
      </w:pPr>
      <w:r>
        <w:rPr/>
        <w:t>строка 12 и последующие строки: число голосов избирателей по каждой из позиций, содержащихся во всех избирательных бюллетенях.</w:t>
      </w:r>
    </w:p>
    <w:p>
      <w:pPr>
        <w:pStyle w:val="style22"/>
        <w:rPr/>
      </w:pPr>
      <w:r>
        <w:rPr/>
        <w:t xml:space="preserve">Для внесения сведений, получаемых в случае, предусмотренном </w:t>
      </w:r>
      <w:hyperlink w:anchor="Lbl6423">
        <w:r>
          <w:rPr>
            <w:rStyle w:val="style17"/>
          </w:rPr>
          <w:t>частью 23 статьи 64</w:t>
        </w:r>
      </w:hyperlink>
      <w:r>
        <w:rPr/>
        <w:t xml:space="preserve"> настоящего Закона, протокол об итогах голосования должен также содержать следующие строки:</w:t>
      </w:r>
    </w:p>
    <w:p>
      <w:pPr>
        <w:pStyle w:val="style22"/>
        <w:rPr/>
      </w:pPr>
      <w:r>
        <w:rPr/>
        <w:t>строка 10: число утраченных избирательных бюллетеней;</w:t>
      </w:r>
    </w:p>
    <w:p>
      <w:pPr>
        <w:pStyle w:val="style22"/>
        <w:rPr/>
      </w:pPr>
      <w:r>
        <w:rPr/>
        <w:t>строка 11: число избирательных бюллетеней, не учтенных при получении;</w:t>
      </w:r>
    </w:p>
    <w:p>
      <w:pPr>
        <w:pStyle w:val="style22"/>
        <w:rPr/>
      </w:pPr>
      <w:bookmarkStart w:id="855" w:name="Lbl6336"/>
      <w:bookmarkEnd w:id="855"/>
      <w:r>
        <w:rPr>
          <w:rStyle w:val="style18"/>
        </w:rPr>
        <w:t>6)</w:t>
      </w:r>
      <w:r>
        <w:rPr/>
        <w:t xml:space="preserve">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pPr>
        <w:pStyle w:val="style22"/>
        <w:rPr/>
      </w:pPr>
      <w:bookmarkStart w:id="856" w:name="Lbl6337"/>
      <w:bookmarkEnd w:id="856"/>
      <w:r>
        <w:rPr>
          <w:rStyle w:val="style18"/>
        </w:rPr>
        <w:t>7)</w:t>
      </w:r>
      <w:r>
        <w:rPr/>
        <w:t xml:space="preserve">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pPr>
        <w:pStyle w:val="style22"/>
        <w:rPr/>
      </w:pPr>
      <w:bookmarkStart w:id="857" w:name="Lbl6338"/>
      <w:bookmarkEnd w:id="857"/>
      <w:r>
        <w:rPr>
          <w:rStyle w:val="style18"/>
        </w:rPr>
        <w:t>8)</w:t>
      </w:r>
      <w:r>
        <w:rPr/>
        <w:t xml:space="preserve"> дату и время подписания протокола;</w:t>
      </w:r>
    </w:p>
    <w:p>
      <w:pPr>
        <w:pStyle w:val="style22"/>
        <w:rPr/>
      </w:pPr>
      <w:bookmarkStart w:id="858" w:name="Lbl6339"/>
      <w:bookmarkEnd w:id="858"/>
      <w:r>
        <w:rPr>
          <w:rStyle w:val="style18"/>
        </w:rPr>
        <w:t>9)</w:t>
      </w:r>
      <w:r>
        <w:rPr/>
        <w:t xml:space="preserve"> печать участковой избирательной комиссии (для протокола, составленного на бумажном носителе).</w:t>
      </w:r>
    </w:p>
    <w:p>
      <w:pPr>
        <w:pStyle w:val="style22"/>
        <w:rPr/>
      </w:pPr>
      <w:bookmarkStart w:id="859" w:name="Lbl634"/>
      <w:bookmarkEnd w:id="859"/>
      <w:r>
        <w:rPr>
          <w:rStyle w:val="style18"/>
        </w:rPr>
        <w:t>4.</w:t>
      </w:r>
      <w:r>
        <w:rPr/>
        <w:t xml:space="preserve"> Числа, указанные в </w:t>
      </w:r>
      <w:hyperlink w:anchor="Lbl633">
        <w:r>
          <w:rPr>
            <w:rStyle w:val="style17"/>
          </w:rPr>
          <w:t>части 3</w:t>
        </w:r>
      </w:hyperlink>
      <w:r>
        <w:rPr/>
        <w:t xml:space="preserve"> настоящей статьи, заносятся в протокол об итогах голосования цифрами и прописью.</w:t>
      </w:r>
    </w:p>
    <w:p>
      <w:pPr>
        <w:pStyle w:val="style47"/>
        <w:rPr/>
      </w:pPr>
      <w:bookmarkStart w:id="860" w:name="Lbl64"/>
      <w:bookmarkEnd w:id="860"/>
      <w:r>
        <w:rPr/>
        <w:t>Статья 64</w:t>
      </w:r>
    </w:p>
    <w:p>
      <w:pPr>
        <w:pStyle w:val="style46"/>
        <w:rPr/>
      </w:pPr>
      <w:r>
        <w:rPr>
          <w:rStyle w:val="style18"/>
        </w:rPr>
        <w:t>Статья 64</w:t>
      </w:r>
      <w:r>
        <w:rPr/>
        <w:t>. Порядок подсчета голосов избирателей и составления протоколов участковой избирательной комиссией об итогах голосования</w:t>
      </w:r>
    </w:p>
    <w:p>
      <w:pPr>
        <w:pStyle w:val="style22"/>
        <w:rPr/>
      </w:pPr>
      <w:bookmarkStart w:id="861" w:name="Lbl641"/>
      <w:bookmarkEnd w:id="861"/>
      <w:r>
        <w:rPr>
          <w:rStyle w:val="style18"/>
        </w:rPr>
        <w:t>1.</w:t>
      </w:r>
      <w:r>
        <w:rPr/>
        <w:t xml:space="preserve"> По истечении времени голосования председатель участковой избирательной комиссии объявляет голосование оконченным. При этом избиратели, уже находящиеся в помещении для голосования, могут получить избирательные бюллетени и проголосовать.</w:t>
      </w:r>
    </w:p>
    <w:p>
      <w:pPr>
        <w:pStyle w:val="style22"/>
        <w:rPr/>
      </w:pPr>
      <w:bookmarkStart w:id="862" w:name="Lbl642"/>
      <w:bookmarkEnd w:id="862"/>
      <w:r>
        <w:rPr>
          <w:rStyle w:val="style18"/>
        </w:rPr>
        <w:t>2.</w:t>
      </w:r>
      <w:r>
        <w:rPr/>
        <w:t xml:space="preserve">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pPr>
        <w:pStyle w:val="style22"/>
        <w:rPr/>
      </w:pPr>
      <w:bookmarkStart w:id="863" w:name="Lbl643"/>
      <w:bookmarkEnd w:id="863"/>
      <w:r>
        <w:rPr>
          <w:rStyle w:val="style18"/>
        </w:rPr>
        <w:t>3.</w:t>
      </w:r>
      <w:r>
        <w:rPr/>
        <w:t xml:space="preserve">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w:t>
      </w:r>
    </w:p>
    <w:p>
      <w:pPr>
        <w:pStyle w:val="style22"/>
        <w:rPr/>
      </w:pPr>
      <w:bookmarkStart w:id="864" w:name="Lbl644"/>
      <w:bookmarkEnd w:id="864"/>
      <w:r>
        <w:rPr>
          <w:rStyle w:val="style18"/>
        </w:rPr>
        <w:t>4.</w:t>
      </w:r>
      <w:r>
        <w:rPr/>
        <w:t xml:space="preserve">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Lbl213">
        <w:r>
          <w:rPr>
            <w:rStyle w:val="style17"/>
          </w:rPr>
          <w:t>части 3 статьи 21</w:t>
        </w:r>
      </w:hyperlink>
      <w:r>
        <w:rPr/>
        <w:t xml:space="preserve"> настоящего Закона, подсчитывают и погашают неиспользованные избирательные бюллетени, отрезая нижний левый угол, затем оглашают и вносят число погашенных неиспользованных избирательных бюллетеней, а также избирательных бюллетеней, испорченных избирателями при проведении голосования, в строку 5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5 увеличенной формы протокола об итогах голосования.</w:t>
      </w:r>
    </w:p>
    <w:p>
      <w:pPr>
        <w:pStyle w:val="style22"/>
        <w:rPr/>
      </w:pPr>
      <w:bookmarkStart w:id="865" w:name="Lbl645"/>
      <w:bookmarkEnd w:id="865"/>
      <w:r>
        <w:rPr>
          <w:rStyle w:val="style18"/>
        </w:rPr>
        <w:t>5.</w:t>
      </w:r>
      <w:r>
        <w:rPr/>
        <w:t xml:space="preserve"> Председатель, заместитель председателя или секретарь участковой избирательной комиссии уточняет, оглашает и заносит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pPr>
        <w:pStyle w:val="style22"/>
        <w:rPr/>
      </w:pPr>
      <w:bookmarkStart w:id="866" w:name="Lbl646"/>
      <w:bookmarkEnd w:id="866"/>
      <w:r>
        <w:rPr>
          <w:rStyle w:val="style18"/>
        </w:rPr>
        <w:t>6.</w:t>
      </w:r>
      <w:r>
        <w:rPr/>
        <w:t xml:space="preserve">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pPr>
        <w:pStyle w:val="style22"/>
        <w:rPr/>
      </w:pPr>
      <w:bookmarkStart w:id="867" w:name="Lbl6461"/>
      <w:bookmarkEnd w:id="867"/>
      <w:r>
        <w:rPr>
          <w:rStyle w:val="style18"/>
        </w:rPr>
        <w:t>1)</w:t>
      </w:r>
      <w:r>
        <w:rPr/>
        <w:t xml:space="preserve"> число избирателей, внесенных в список избирателей на момент окончания голосования (без учета числа избирателей, выбывших по разным причинам);</w:t>
      </w:r>
    </w:p>
    <w:p>
      <w:pPr>
        <w:pStyle w:val="style22"/>
        <w:rPr/>
      </w:pPr>
      <w:bookmarkStart w:id="868" w:name="Lbl6462"/>
      <w:bookmarkEnd w:id="868"/>
      <w:r>
        <w:rPr>
          <w:rStyle w:val="style18"/>
        </w:rPr>
        <w:t>2)</w:t>
      </w:r>
      <w:r>
        <w:rPr/>
        <w:t xml:space="preserve">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pPr>
        <w:pStyle w:val="style22"/>
        <w:rPr/>
      </w:pPr>
      <w:bookmarkStart w:id="869" w:name="Lbl6463"/>
      <w:bookmarkEnd w:id="869"/>
      <w:r>
        <w:rPr>
          <w:rStyle w:val="style18"/>
        </w:rPr>
        <w:t>3)</w:t>
      </w:r>
      <w:r>
        <w:rPr/>
        <w:t xml:space="preserve">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pPr>
        <w:pStyle w:val="style22"/>
        <w:rPr/>
      </w:pPr>
      <w:bookmarkStart w:id="870" w:name="Lbl647"/>
      <w:bookmarkEnd w:id="870"/>
      <w:r>
        <w:rPr>
          <w:rStyle w:val="style18"/>
        </w:rPr>
        <w:t>7.</w:t>
      </w:r>
      <w:r>
        <w:rPr/>
        <w:t xml:space="preserve"> После внесения указанных в </w:t>
      </w:r>
      <w:hyperlink w:anchor="Lbl646">
        <w:r>
          <w:rPr>
            <w:rStyle w:val="style17"/>
          </w:rPr>
          <w:t>части 6</w:t>
        </w:r>
      </w:hyperlink>
      <w:r>
        <w:rP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Lbl646">
        <w:r>
          <w:rPr>
            <w:rStyle w:val="style17"/>
          </w:rPr>
          <w:t>частью 6</w:t>
        </w:r>
      </w:hyperlink>
      <w:r>
        <w:rPr/>
        <w:t xml:space="preserve"> настоящей статьи, председатель, заместитель председателя или секретарь участковой избирательной комиссии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pPr>
        <w:pStyle w:val="style22"/>
        <w:rPr/>
      </w:pPr>
      <w:bookmarkStart w:id="871" w:name="Lbl6471"/>
      <w:bookmarkEnd w:id="871"/>
      <w:r>
        <w:rPr>
          <w:rStyle w:val="style18"/>
        </w:rPr>
        <w:t>1)</w:t>
      </w:r>
      <w:r>
        <w:rPr/>
        <w:t xml:space="preserve"> в строку 1 — число избирателей, внесенных в список избирателей на момент окончания голосования;</w:t>
      </w:r>
    </w:p>
    <w:p>
      <w:pPr>
        <w:pStyle w:val="style22"/>
        <w:rPr/>
      </w:pPr>
      <w:bookmarkStart w:id="872" w:name="Lbl6472"/>
      <w:bookmarkEnd w:id="872"/>
      <w:r>
        <w:rPr>
          <w:rStyle w:val="style18"/>
        </w:rPr>
        <w:t>2)</w:t>
      </w:r>
      <w:r>
        <w:rPr/>
        <w:t xml:space="preserve"> в строку 3 — число избирательных бюллетеней, выданных избирателям, проголосовавшим в помещении для голосования в день голосования;</w:t>
      </w:r>
    </w:p>
    <w:p>
      <w:pPr>
        <w:pStyle w:val="style22"/>
        <w:rPr/>
      </w:pPr>
      <w:bookmarkStart w:id="873" w:name="Lbl6473"/>
      <w:bookmarkEnd w:id="873"/>
      <w:r>
        <w:rPr>
          <w:rStyle w:val="style18"/>
        </w:rPr>
        <w:t>3)</w:t>
      </w:r>
      <w:r>
        <w:rPr/>
        <w:t xml:space="preserve"> в строку 4 — число избирательных бюллетеней, выданных избирателям, проголосовавшим вне помещения для голосования в день голосования.</w:t>
      </w:r>
    </w:p>
    <w:p>
      <w:pPr>
        <w:pStyle w:val="style22"/>
        <w:rPr/>
      </w:pPr>
      <w:r>
        <w:rPr/>
        <w:t xml:space="preserve">После этого со списком избирателей вправе ознакомиться наблюдатели и иные лица, указанные в </w:t>
      </w:r>
      <w:hyperlink w:anchor="Lbl213">
        <w:r>
          <w:rPr>
            <w:rStyle w:val="style17"/>
          </w:rPr>
          <w:t>части 3 статьи 21</w:t>
        </w:r>
      </w:hyperlink>
      <w:r>
        <w:rP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pPr>
        <w:pStyle w:val="style22"/>
        <w:rPr/>
      </w:pPr>
      <w:bookmarkStart w:id="874" w:name="Lbl648"/>
      <w:bookmarkEnd w:id="874"/>
      <w:r>
        <w:rPr>
          <w:rStyle w:val="style18"/>
        </w:rPr>
        <w:t>8.</w:t>
      </w:r>
      <w:r>
        <w:rPr/>
        <w:t xml:space="preserve">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Lbl6423">
        <w:r>
          <w:rPr>
            <w:rStyle w:val="style17"/>
          </w:rPr>
          <w:t>частью 23</w:t>
        </w:r>
      </w:hyperlink>
      <w:r>
        <w:rPr/>
        <w:t xml:space="preserve"> настоящей статьи. Список избирателей на это время убирается в сейф либо иное специально приспособленное для хранения документов место. Председателем или секретарем участковой избирательной комиссии обеспечивается хранение списка избирателей, исключающее доступ к нему лиц, находящихся в помещении для голосования.</w:t>
      </w:r>
    </w:p>
    <w:p>
      <w:pPr>
        <w:pStyle w:val="style22"/>
        <w:rPr/>
      </w:pPr>
      <w:bookmarkStart w:id="875" w:name="Lbl649"/>
      <w:bookmarkEnd w:id="875"/>
      <w:r>
        <w:rPr>
          <w:rStyle w:val="style18"/>
        </w:rPr>
        <w:t>9.</w:t>
      </w:r>
      <w:r>
        <w:rPr/>
        <w:t xml:space="preserve">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pPr>
        <w:pStyle w:val="style22"/>
        <w:rPr/>
      </w:pPr>
      <w:bookmarkStart w:id="876" w:name="Lbl6410"/>
      <w:bookmarkEnd w:id="876"/>
      <w:r>
        <w:rPr>
          <w:rStyle w:val="style18"/>
        </w:rPr>
        <w:t>10.</w:t>
      </w:r>
      <w:r>
        <w:rPr/>
        <w:t xml:space="preserve">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лица, указанные в </w:t>
      </w:r>
      <w:hyperlink w:anchor="Lbl213">
        <w:r>
          <w:rPr>
            <w:rStyle w:val="style17"/>
          </w:rPr>
          <w:t>части 3 статьи 21</w:t>
        </w:r>
      </w:hyperlink>
      <w:r>
        <w:rPr/>
        <w:t xml:space="preserve"> настоящего Закона.</w:t>
      </w:r>
    </w:p>
    <w:p>
      <w:pPr>
        <w:pStyle w:val="style22"/>
        <w:rPr/>
      </w:pPr>
      <w:bookmarkStart w:id="877" w:name="Lbl6411"/>
      <w:bookmarkEnd w:id="877"/>
      <w:r>
        <w:rPr>
          <w:rStyle w:val="style18"/>
        </w:rPr>
        <w:t>11.</w:t>
      </w:r>
      <w:r>
        <w:rPr/>
        <w:t xml:space="preserve">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При этом должен быть обеспечен полный обзор действий членов участковой избирательной комиссии для всех присутствующих при подсчете. Членам участковой избирательной комиссии,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Lbl6414">
        <w:r>
          <w:rPr>
            <w:rStyle w:val="style17"/>
          </w:rPr>
          <w:t>частями 14</w:t>
        </w:r>
      </w:hyperlink>
      <w:r>
        <w:rPr/>
        <w:t xml:space="preserve"> и </w:t>
      </w:r>
      <w:hyperlink w:anchor="Lbl6418">
        <w:r>
          <w:rPr>
            <w:rStyle w:val="style17"/>
          </w:rPr>
          <w:t>18</w:t>
        </w:r>
      </w:hyperlink>
      <w:r>
        <w:rPr/>
        <w:t xml:space="preserve"> настоящей статьи.</w:t>
      </w:r>
    </w:p>
    <w:p>
      <w:pPr>
        <w:pStyle w:val="style22"/>
        <w:rPr/>
      </w:pPr>
      <w:bookmarkStart w:id="878" w:name="Lbl6412"/>
      <w:bookmarkEnd w:id="878"/>
      <w:r>
        <w:rPr>
          <w:rStyle w:val="style18"/>
        </w:rPr>
        <w:t>12.</w:t>
      </w:r>
      <w:r>
        <w:rPr/>
        <w:t xml:space="preserve"> При сортировке избирательных бюллетеней прежде всего отделяются избирательные бюллетени неустановленной формы, которые при подсчете голосов не учитываются. При этом такие избирательные бюллетени упаковываются отдельно и опечатываются.</w:t>
      </w:r>
    </w:p>
    <w:p>
      <w:pPr>
        <w:pStyle w:val="style22"/>
        <w:rPr/>
      </w:pPr>
      <w:bookmarkStart w:id="879" w:name="Lbl6413"/>
      <w:bookmarkEnd w:id="879"/>
      <w:r>
        <w:rPr>
          <w:rStyle w:val="style18"/>
        </w:rPr>
        <w:t>13.</w:t>
      </w:r>
      <w:r>
        <w:rPr/>
        <w:t xml:space="preserve"> В первую очередь производится подсчет избирательных бюллетеней, находившихся в переносных ящиках для голосования. Перед вскрытием переносных ящиков для голосования председатель участковой избирательной комиссии в присутствии всего состава комиссии проверяет целостность печатей (пломб) на них. Подсчет ведется таким образом, чтобы не нарушалась тайна голосования.</w:t>
      </w:r>
    </w:p>
    <w:p>
      <w:pPr>
        <w:pStyle w:val="style22"/>
        <w:rPr/>
      </w:pPr>
      <w:bookmarkStart w:id="880" w:name="Lbl6414"/>
      <w:bookmarkEnd w:id="880"/>
      <w:r>
        <w:rPr>
          <w:rStyle w:val="style18"/>
        </w:rPr>
        <w:t>14.</w:t>
      </w:r>
      <w:r>
        <w:rPr/>
        <w:t xml:space="preserve"> Число извлеченных избирательных бюллетеней установленной формы оглашается и вносится в строку 6 протокола об итогах голосования и его увеличенной формы. Если число избирательных бюллетеней установленной формы, обнаруженных в переносном ящике для голосования, больше количества заявлений избирателей о предоставлении возможности проголосовать вне помещения для голосования, содержащих отметку о количестве полученных избирательных бюллетеней, все избирательные бюллетени, находившиеся в таком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баллотирующихся кандидатов, списков кандидатов на квадратах, относящихся к позициям «За» и «Против»,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pPr>
        <w:pStyle w:val="style22"/>
        <w:rPr/>
      </w:pPr>
      <w:bookmarkStart w:id="881" w:name="Lbl6415"/>
      <w:bookmarkEnd w:id="881"/>
      <w:r>
        <w:rPr>
          <w:rStyle w:val="style18"/>
        </w:rPr>
        <w:t>15.</w:t>
      </w:r>
      <w:r>
        <w:rPr/>
        <w:t xml:space="preserve"> Стационарные ящики для голосования вскрываются после проверки неповрежденности печатей (пломб) на них.</w:t>
      </w:r>
    </w:p>
    <w:p>
      <w:pPr>
        <w:pStyle w:val="style22"/>
        <w:rPr/>
      </w:pPr>
      <w:bookmarkStart w:id="882" w:name="Lbl6416"/>
      <w:bookmarkEnd w:id="882"/>
      <w:r>
        <w:rPr>
          <w:rStyle w:val="style18"/>
        </w:rPr>
        <w:t>16.</w:t>
      </w:r>
      <w:r>
        <w:rPr/>
        <w:t xml:space="preserve"> Члены участковой избирательной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по позициям «За» и «Против», одновременно отделяют избирательные бюллетени неустановленной формы и недействительные избирательные бюллетени. При этом члены участковой избирательной комиссии с правом решающего голоса оглашают содержащиеся в каждом избирательном бюллетене отметки избирателя и представляют избирательные бюллетени для визуального контроля всем лицам, присутствующим при непосредственном подсчете избирательных бюллетеней. Одновременное оглашение содержания двух и более избирательных бюллетеней не допускается.</w:t>
      </w:r>
    </w:p>
    <w:p>
      <w:pPr>
        <w:pStyle w:val="style22"/>
        <w:rPr/>
      </w:pPr>
      <w:bookmarkStart w:id="883" w:name="Lbl6417"/>
      <w:bookmarkEnd w:id="883"/>
      <w:r>
        <w:rPr>
          <w:rStyle w:val="style18"/>
        </w:rPr>
        <w:t>17.</w:t>
      </w:r>
      <w:r>
        <w:rPr/>
        <w:t xml:space="preserve"> Содержащиеся в каждом из избирательных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 После оглашения данные, содержащиеся в бюллетене, заносятся в таблицу, содержащую фамилии всех кандидатов, внесенных в бюллетень, и суммируются.</w:t>
      </w:r>
    </w:p>
    <w:p>
      <w:pPr>
        <w:pStyle w:val="style22"/>
        <w:rPr/>
      </w:pPr>
      <w:bookmarkStart w:id="884" w:name="Lbl6418"/>
      <w:bookmarkEnd w:id="884"/>
      <w:r>
        <w:rPr>
          <w:rStyle w:val="style18"/>
        </w:rPr>
        <w:t>18.</w:t>
      </w:r>
      <w:r>
        <w:rPr/>
        <w:t xml:space="preserve">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«За» и «Против», или в которых отметка проставлена более чем в одном квадрате (при проведении выборов по одномандатным и (или) единому избирательным округам), или в которых число проставленных в квадратах отметок превышает количество имеющихся у избирателя голосов (при проведении выборов по многомандатным избирательным округам).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участковой избирательной комиссии. Общее число недействительных избирательных бюллетеней (с учетом числа бюллетеней, признанных недействительными в соответствии с </w:t>
      </w:r>
      <w:hyperlink w:anchor="Lbl6414">
        <w:r>
          <w:rPr>
            <w:rStyle w:val="style17"/>
          </w:rPr>
          <w:t>частью 14</w:t>
        </w:r>
      </w:hyperlink>
      <w:r>
        <w:rPr/>
        <w:t xml:space="preserve"> настоящей статьи) заносится в строку 8 протокола об итогах голосования и его увеличенной формы.</w:t>
      </w:r>
    </w:p>
    <w:p>
      <w:pPr>
        <w:pStyle w:val="style22"/>
        <w:rPr/>
      </w:pPr>
      <w:bookmarkStart w:id="885" w:name="Lbl6419"/>
      <w:bookmarkEnd w:id="885"/>
      <w:r>
        <w:rPr>
          <w:rStyle w:val="style18"/>
        </w:rPr>
        <w:t>19.</w:t>
      </w:r>
      <w:r>
        <w:rPr/>
        <w:t xml:space="preserve"> После этого производится подсчет рассортированных избирательных бюллетеней установленной формы в каждой пачке отдельно по каждому кандидату, списку кандидатов. При этом избирательные бюллетени подсчитываются путем перекладывания из одной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соответствующие строки протокола об итогах голосования, а также его увеличенной формы.</w:t>
      </w:r>
    </w:p>
    <w:p>
      <w:pPr>
        <w:pStyle w:val="style22"/>
        <w:rPr/>
      </w:pPr>
      <w:bookmarkStart w:id="886" w:name="Lbl6420"/>
      <w:bookmarkEnd w:id="886"/>
      <w:r>
        <w:rPr>
          <w:rStyle w:val="style18"/>
        </w:rPr>
        <w:t>20.</w:t>
      </w:r>
      <w:r>
        <w:rPr/>
        <w:t xml:space="preserve"> Члены участковой избирательной комиссии с правом решающего голоса подсчитывают и вносят в строку 9 протокола об итогах голосования и его увеличенной формы число действительных избирательных бюллетеней.</w:t>
      </w:r>
    </w:p>
    <w:p>
      <w:pPr>
        <w:pStyle w:val="style22"/>
        <w:rPr/>
      </w:pPr>
      <w:bookmarkStart w:id="887" w:name="Lbl6421"/>
      <w:bookmarkEnd w:id="887"/>
      <w:r>
        <w:rPr>
          <w:rStyle w:val="style18"/>
        </w:rPr>
        <w:t>21.</w:t>
      </w:r>
      <w:r>
        <w:rPr/>
        <w:t xml:space="preserve"> Члены участковой избирательной комиссии с правом решающего голоса подсчитывают, оглашают и вносят в строку 7 протокола об итогах голосования и его увеличенной формы число избирательных бюллетеней установленной формы, находящихся в стационарных ящиках для голосования.</w:t>
      </w:r>
    </w:p>
    <w:p>
      <w:pPr>
        <w:pStyle w:val="style22"/>
        <w:rPr/>
      </w:pPr>
      <w:bookmarkStart w:id="888" w:name="Lbl6422"/>
      <w:bookmarkEnd w:id="888"/>
      <w:r>
        <w:rPr>
          <w:rStyle w:val="style18"/>
        </w:rPr>
        <w:t>22.</w:t>
      </w:r>
      <w:r>
        <w:rPr/>
        <w:t xml:space="preserve"> После этого с рассортированными избирательными бюллетенями под контролем членов участковой избирательной комиссии с правом решающего голоса вправе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pPr>
        <w:pStyle w:val="style22"/>
        <w:rPr/>
      </w:pPr>
      <w:bookmarkStart w:id="889" w:name="Lbl6423"/>
      <w:bookmarkEnd w:id="889"/>
      <w:r>
        <w:rPr>
          <w:rStyle w:val="style18"/>
        </w:rPr>
        <w:t>23.</w:t>
      </w:r>
      <w:r>
        <w:rPr/>
        <w:t xml:space="preserve">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согласно </w:t>
      </w:r>
      <w:hyperlink w:anchor="Lbl5000">
        <w:r>
          <w:rPr>
            <w:rStyle w:val="style17"/>
          </w:rPr>
          <w:t>приложению 5</w:t>
        </w:r>
      </w:hyperlink>
      <w:r>
        <w:rPr/>
        <w:t xml:space="preserve"> к настоящему Закону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10 и 11 протокола об итогах голосования.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10 и 11 протокола проставляется цифра «0».</w:t>
      </w:r>
    </w:p>
    <w:p>
      <w:pPr>
        <w:pStyle w:val="style22"/>
        <w:rPr/>
      </w:pPr>
      <w:bookmarkStart w:id="890" w:name="Lbl6424"/>
      <w:bookmarkEnd w:id="890"/>
      <w:r>
        <w:rPr>
          <w:rStyle w:val="style18"/>
        </w:rPr>
        <w:t>24.</w:t>
      </w:r>
      <w:r>
        <w:rPr/>
        <w:t xml:space="preserve"> После завершения подсчета рассортированные избирательные бюллетени упаковываются в отдельные пачки и складываются в мешки или коробки, на которых указываются номер избирательного участка и количество избирательных бюллетеней. Мешки и коробки опечатываются и могут быть вскрыты только по решению вышестоящей избирательной комиссии или суда. На указанных мешках и коробках вправе поставить свои подписи члены участковой избирательной комиссии как с правом решающего, так и с правом совещательного голоса. Упаковка осуществляется в присутствии лиц, которые указаны в </w:t>
      </w:r>
      <w:hyperlink w:anchor="Lbl213">
        <w:r>
          <w:rPr>
            <w:rStyle w:val="style17"/>
          </w:rPr>
          <w:t>части 3 статьи 21</w:t>
        </w:r>
      </w:hyperlink>
      <w:r>
        <w:rPr/>
        <w:t xml:space="preserve"> настоящего Закона и которым предоставляется возможность поставить на мешках или коробках свои подписи.</w:t>
      </w:r>
    </w:p>
    <w:p>
      <w:pPr>
        <w:pStyle w:val="style22"/>
        <w:rPr/>
      </w:pPr>
      <w:bookmarkStart w:id="891" w:name="Lbl6425"/>
      <w:bookmarkEnd w:id="891"/>
      <w:r>
        <w:rPr>
          <w:rStyle w:val="style18"/>
        </w:rPr>
        <w:t>25.</w:t>
      </w:r>
      <w:r>
        <w:rPr/>
        <w:t xml:space="preserve"> При использовании технических средств подсчета голосов после завершения работы со списком избирателей работа производится в соответствии с пунктом 24 статьи 68 Федерального закона «Об основных гарантиях избирательных прав и права на участие в референдуме граждан Российской Федерации».</w:t>
      </w:r>
    </w:p>
    <w:p>
      <w:pPr>
        <w:pStyle w:val="style22"/>
        <w:rPr/>
      </w:pPr>
      <w:bookmarkStart w:id="892" w:name="Lbl6426"/>
      <w:bookmarkEnd w:id="892"/>
      <w:r>
        <w:rPr>
          <w:rStyle w:val="style18"/>
        </w:rPr>
        <w:t>26.</w:t>
      </w:r>
      <w:r>
        <w:rPr/>
        <w:t xml:space="preserve">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присутствующих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технического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8, 9, 12 и последующих строк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w:t>
      </w:r>
    </w:p>
    <w:p>
      <w:pPr>
        <w:pStyle w:val="style22"/>
        <w:rPr/>
      </w:pPr>
      <w:bookmarkStart w:id="893" w:name="Lbl6427"/>
      <w:bookmarkEnd w:id="893"/>
      <w:r>
        <w:rPr>
          <w:rStyle w:val="style18"/>
        </w:rPr>
        <w:t>27.</w:t>
      </w:r>
      <w:r>
        <w:rPr/>
        <w:t xml:space="preserve">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w:t>
      </w:r>
      <w:hyperlink w:anchor="Lbl213">
        <w:r>
          <w:rPr>
            <w:rStyle w:val="style17"/>
          </w:rPr>
          <w:t>части 3 статьи 21</w:t>
        </w:r>
      </w:hyperlink>
      <w:r>
        <w:rP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style22"/>
        <w:rPr/>
      </w:pPr>
      <w:bookmarkStart w:id="894" w:name="Lbl6428"/>
      <w:bookmarkEnd w:id="894"/>
      <w:r>
        <w:rPr>
          <w:rStyle w:val="style18"/>
        </w:rPr>
        <w:t>28.</w:t>
      </w:r>
      <w:r>
        <w:rPr/>
        <w:t xml:space="preserve">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style22"/>
        <w:rPr/>
      </w:pPr>
      <w:bookmarkStart w:id="895" w:name="Lbl6429"/>
      <w:bookmarkEnd w:id="895"/>
      <w:r>
        <w:rPr>
          <w:rStyle w:val="style18"/>
        </w:rPr>
        <w:t>29.</w:t>
      </w:r>
      <w:r>
        <w:rPr/>
        <w:t xml:space="preserve"> При подписании протокола об итогах голосования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pPr>
        <w:pStyle w:val="style41"/>
        <w:rPr/>
      </w:pPr>
      <w:bookmarkStart w:id="896" w:name="Lbl6430"/>
      <w:bookmarkEnd w:id="896"/>
      <w:r>
        <w:rPr/>
        <w:t>Законом Рязанской области от 14 мая 2013 г. № 24-ОЗ в часть 30 статьи 64 главы 9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30.</w:t>
      </w:r>
      <w:r>
        <w:rPr/>
        <w:t xml:space="preserve"> По требованию члена участковой избирательной комиссии, наблюдателя, иных лиц, указанных в </w:t>
      </w:r>
      <w:hyperlink w:anchor="Lbl213">
        <w:r>
          <w:rPr>
            <w:rStyle w:val="style17"/>
          </w:rPr>
          <w:t>части 3 статьи 21</w:t>
        </w:r>
      </w:hyperlink>
      <w:r>
        <w:rP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pPr>
        <w:pStyle w:val="style22"/>
        <w:rPr/>
      </w:pPr>
      <w:bookmarkStart w:id="897" w:name="Lbl6431"/>
      <w:bookmarkEnd w:id="897"/>
      <w:r>
        <w:rPr>
          <w:rStyle w:val="style18"/>
        </w:rPr>
        <w:t>31.</w:t>
      </w:r>
      <w:r>
        <w:rPr/>
        <w:t xml:space="preserve">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избирательную комиссию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нарушения настоящего Закона, принятые по данным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окружную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pPr>
        <w:pStyle w:val="style41"/>
        <w:rPr/>
      </w:pPr>
      <w:bookmarkStart w:id="898" w:name="Lbl6432"/>
      <w:bookmarkEnd w:id="898"/>
      <w:r>
        <w:rPr/>
        <w:t>Законом Рязанской области от 14 мая 2013 г. № 24-ОЗ часть 32 статьи 64 главы 9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32.</w:t>
      </w:r>
      <w:r>
        <w:rPr/>
        <w:t xml:space="preserve"> Второй экземпляр протокола предоставляется для ознакомления наблюдателям, иным лицам, указанным в </w:t>
      </w:r>
      <w:hyperlink w:anchor="Lbl211">
        <w:r>
          <w:rPr>
            <w:rStyle w:val="style17"/>
          </w:rPr>
          <w:t>части 1 статьи 21</w:t>
        </w:r>
      </w:hyperlink>
      <w:r>
        <w:rPr/>
        <w:t xml:space="preserve"> настоящего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После этого второй экземпляр протокола вместе с избирательными документами, предусмотренными настоящим Законом, включая избирательные бюллетени, список избирателей, а также печать участковой избирательной комиссии, передается в вышестоящую избирательную комиссию для хранения.</w:t>
      </w:r>
    </w:p>
    <w:p>
      <w:pPr>
        <w:pStyle w:val="style22"/>
        <w:rPr/>
      </w:pPr>
      <w:bookmarkStart w:id="899" w:name="Lbl6433"/>
      <w:bookmarkEnd w:id="899"/>
      <w:r>
        <w:rPr>
          <w:rStyle w:val="style18"/>
        </w:rPr>
        <w:t>33.</w:t>
      </w:r>
      <w:r>
        <w:rPr/>
        <w:t xml:space="preserve"> Если после подписания протокола об итогах голосования и направления его первого экземпляра в окружную избирательную комиссию участковая избирательная комиссия, составившая протокол, выявила неточность (описку, опечатку либо ошибку в сложении данных) в строках 1 — 11 протокола либо такая неточность выявлена окружной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11 протокола.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окружную избирательную комиссию. Ранее представленный участковой избирательной комиссией в окружную избирательную комиссию протокол об итогах голосования приобщается к повторному протоколу. В случае необходимости внесения уточнений в строку 12 и последующие строки протокола проводится повторный подсчет голосов в порядке, предусмотренном </w:t>
      </w:r>
      <w:hyperlink w:anchor="Lbl6521">
        <w:r>
          <w:rPr>
            <w:rStyle w:val="style17"/>
          </w:rPr>
          <w:t>частью 21 статьи 65</w:t>
        </w:r>
      </w:hyperlink>
      <w:r>
        <w:rPr/>
        <w:t xml:space="preserve"> настоящего Закона. Нарушение указанного порядка составления повторного протокола является основанием для признания этого протокола недействительным.</w:t>
      </w:r>
    </w:p>
    <w:p>
      <w:pPr>
        <w:pStyle w:val="style47"/>
        <w:rPr/>
      </w:pPr>
      <w:bookmarkStart w:id="900" w:name="Lbl65"/>
      <w:bookmarkEnd w:id="900"/>
      <w:r>
        <w:rPr/>
        <w:t>Статья 65</w:t>
      </w:r>
    </w:p>
    <w:p>
      <w:pPr>
        <w:pStyle w:val="style46"/>
        <w:rPr/>
      </w:pPr>
      <w:r>
        <w:rPr>
          <w:rStyle w:val="style18"/>
        </w:rPr>
        <w:t>Статья 65.</w:t>
      </w:r>
      <w:r>
        <w:rPr/>
        <w:t xml:space="preserve"> Определение результатов выборов по одномандатному (многомандатному) избирательному округу и установление итогов голосования по единому избирательному округу</w:t>
      </w:r>
    </w:p>
    <w:p>
      <w:pPr>
        <w:pStyle w:val="style22"/>
        <w:rPr/>
      </w:pPr>
      <w:bookmarkStart w:id="901" w:name="Lbl651"/>
      <w:bookmarkEnd w:id="901"/>
      <w:r>
        <w:rPr>
          <w:rStyle w:val="style18"/>
        </w:rPr>
        <w:t>1.</w:t>
      </w:r>
      <w:r>
        <w:rPr/>
        <w:t xml:space="preserve"> На основании данных первых экземпляров протоколов участковых избирательных комиссий об итогах голосования окружная избирательная комиссия после предварительной проверки правильности их составления не позднее чем через три дня со дня голосования путем суммирования данных, содержащихся в протоколах участковых избирательных комиссий, определяет результаты выборов по одномандатному (многомандатному) избирательному округу, а в случае применения на выборах депутатов представительного органа муниципального образования смешанной избирательной системы, — также устанавливает путем суммирования данных, содержащихся в протоколах № 2 участковых избирательных комиссий, итоги голосования по единому избирательному округу на территории одномандатного (многомандатного) избирательного округа. Суммирование данных, содержащихся в протоколах участковых избирательных комиссий об итогах голосования, осуществляют непосредственно члены окружной избирательной комиссии с правом решающего голоса.</w:t>
      </w:r>
    </w:p>
    <w:p>
      <w:pPr>
        <w:pStyle w:val="style22"/>
        <w:rPr/>
      </w:pPr>
      <w:bookmarkStart w:id="902" w:name="Lbl652"/>
      <w:bookmarkEnd w:id="902"/>
      <w:r>
        <w:rPr>
          <w:rStyle w:val="style18"/>
        </w:rPr>
        <w:t>2.</w:t>
      </w:r>
      <w:r>
        <w:rPr/>
        <w:t xml:space="preserve"> Прием протоколов участковых избирательных комиссий об итогах голосования, суммирование данных, содержащихся в этих протоколах, и составление протоколов об итогах голосования, о результатах выборов осуществляются в одном помещении, при этом все действия членов окружной избирательной комиссии по приему протоколов участковых избирательных комиссий, суммированию данных, содержащихся в этих протоколах, и составлению протоколов об итогах голосования, о результатах выборов должны находиться в поле зрения членов окружной избирательной комиссии, наблюдателей и иных лиц, указанных в </w:t>
      </w:r>
      <w:hyperlink w:anchor="Lbl213">
        <w:r>
          <w:rPr>
            <w:rStyle w:val="style17"/>
          </w:rPr>
          <w:t>части 3 статьи 21</w:t>
        </w:r>
      </w:hyperlink>
      <w:r>
        <w:rPr/>
        <w:t xml:space="preserve"> настоящего Закона. В указанном помещении должна (должны) находиться увеличенная форма (увеличенные формы) сводной таблицы (сводных таблиц) окружной избирательной комиссии, в которую (которые) немедленно после прибытия председателя, секретаря или иного члена участковой избирательной комиссии с правом решающего голоса с первым (первыми) экземпляром (экземплярами) протокола (протоколов) участковой избирательной комиссии об итогах голосования заносятся данные этого (этих) протокола (протоколов), с указанием времени их внесения.</w:t>
      </w:r>
    </w:p>
    <w:p>
      <w:pPr>
        <w:pStyle w:val="style22"/>
        <w:rPr/>
      </w:pPr>
      <w:bookmarkStart w:id="903" w:name="Lbl653"/>
      <w:bookmarkEnd w:id="903"/>
      <w:r>
        <w:rPr>
          <w:rStyle w:val="style18"/>
        </w:rPr>
        <w:t>3.</w:t>
      </w:r>
      <w:r>
        <w:rPr/>
        <w:t xml:space="preserve"> Председатель, секретарь или иной член участковой избирательной комиссии с правом решающего голоса передает первый (первые) экземпляр (экземпляры) протокола (протоколов) участковой избирательной комиссии об итогах голосования с приложенными к нему (ним) документами члену окружной избирательной комиссии с правом решающего голоса, который проверяет правильность заполнения протокола (протоколов), полноту приложенных к нему (ним) документов и выполнение контрольных соотношений.</w:t>
      </w:r>
    </w:p>
    <w:p>
      <w:pPr>
        <w:pStyle w:val="style22"/>
        <w:rPr/>
      </w:pPr>
      <w:bookmarkStart w:id="904" w:name="Lbl654"/>
      <w:bookmarkEnd w:id="904"/>
      <w:r>
        <w:rPr>
          <w:rStyle w:val="style18"/>
        </w:rPr>
        <w:t>4.</w:t>
      </w:r>
      <w:r>
        <w:rPr/>
        <w:t xml:space="preserve"> 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Lbl6433">
        <w:r>
          <w:rPr>
            <w:rStyle w:val="style17"/>
          </w:rPr>
          <w:t>части 33 статьи 64</w:t>
        </w:r>
      </w:hyperlink>
      <w:r>
        <w:rPr/>
        <w:t xml:space="preserve"> настоящего Закона, а первоначально представленный протокол остается в окружной избирательной комиссии.</w:t>
      </w:r>
    </w:p>
    <w:p>
      <w:pPr>
        <w:pStyle w:val="style22"/>
        <w:rPr/>
      </w:pPr>
      <w:bookmarkStart w:id="905" w:name="Lbl655"/>
      <w:bookmarkEnd w:id="905"/>
      <w:r>
        <w:rPr>
          <w:rStyle w:val="style18"/>
        </w:rPr>
        <w:t>5.</w:t>
      </w:r>
      <w:r>
        <w:rPr/>
        <w:t xml:space="preserve">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окружной избирательной комиссии вносит данные этого протокола в соответствующую сводную таблицу окружной избирательной комиссии. Председатель, секретарь или иной член участковой избирательной комиссии с правом решающего голоса, передавший члену окружной избирательной комиссии протокол об итогах голосования, расписывается в увеличенной форме соответствующей сводной таблицы окружной избирательной комиссии под данными протокола участковой избирательной комиссии об итогах голосования.</w:t>
      </w:r>
    </w:p>
    <w:p>
      <w:pPr>
        <w:pStyle w:val="style22"/>
        <w:rPr/>
      </w:pPr>
      <w:bookmarkStart w:id="906" w:name="Lbl656"/>
      <w:bookmarkEnd w:id="906"/>
      <w:r>
        <w:rPr>
          <w:rStyle w:val="style18"/>
        </w:rPr>
        <w:t>6.</w:t>
      </w:r>
      <w:r>
        <w:rPr/>
        <w:t xml:space="preserve"> При проведении выборов депутатов представительного органа муниципального образования по мажоритарной избирательной системе окружная избирательная комиссия на основании протоколов участковых избирательных комиссий об итогах голосования составляет протокол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w:t>
      </w:r>
    </w:p>
    <w:p>
      <w:pPr>
        <w:pStyle w:val="style22"/>
        <w:rPr/>
      </w:pPr>
      <w:r>
        <w:rPr/>
        <w:t>При проведении выборов депутатов представительного органа муниципального образования по смешанной избирательной системе окружная избирательная комиссия на основании протоколов № 1 участковых избирательных комиссий об итогах голосования составляет протокол № 1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w:t>
      </w:r>
    </w:p>
    <w:p>
      <w:pPr>
        <w:pStyle w:val="style22"/>
        <w:rPr/>
      </w:pPr>
      <w:bookmarkStart w:id="907" w:name="Lbl657"/>
      <w:bookmarkEnd w:id="907"/>
      <w:r>
        <w:rPr>
          <w:rStyle w:val="style18"/>
        </w:rPr>
        <w:t>7.</w:t>
      </w:r>
      <w:r>
        <w:rPr/>
        <w:t xml:space="preserve"> В каждый из указанных в </w:t>
      </w:r>
      <w:hyperlink w:anchor="Lbl656">
        <w:r>
          <w:rPr>
            <w:rStyle w:val="style17"/>
          </w:rPr>
          <w:t>части 6</w:t>
        </w:r>
      </w:hyperlink>
      <w:r>
        <w:rPr/>
        <w:t xml:space="preserve"> настоящей статьи протоколов вносятся следующие данные:</w:t>
      </w:r>
    </w:p>
    <w:p>
      <w:pPr>
        <w:pStyle w:val="style22"/>
        <w:rPr/>
      </w:pPr>
      <w:bookmarkStart w:id="908" w:name="Lbl6571"/>
      <w:bookmarkEnd w:id="908"/>
      <w:r>
        <w:rPr>
          <w:rStyle w:val="style18"/>
        </w:rPr>
        <w:t>1)</w:t>
      </w:r>
      <w:r>
        <w:rPr/>
        <w:t xml:space="preserve"> число участковых избирательных комиссий в одномандатном (многомандатном) избирательном округе;</w:t>
      </w:r>
    </w:p>
    <w:p>
      <w:pPr>
        <w:pStyle w:val="style22"/>
        <w:rPr/>
      </w:pPr>
      <w:bookmarkStart w:id="909" w:name="Lbl6572"/>
      <w:bookmarkEnd w:id="909"/>
      <w:r>
        <w:rPr>
          <w:rStyle w:val="style18"/>
        </w:rPr>
        <w:t>2)</w:t>
      </w:r>
      <w:r>
        <w:rPr/>
        <w:t xml:space="preserve"> число поступивших протоколов участковых избирательных комиссий об итогах голосования, на основании которых составлен данный протокол;</w:t>
      </w:r>
    </w:p>
    <w:p>
      <w:pPr>
        <w:pStyle w:val="style22"/>
        <w:rPr/>
      </w:pPr>
      <w:bookmarkStart w:id="910" w:name="Lbl6573"/>
      <w:bookmarkEnd w:id="910"/>
      <w:r>
        <w:rPr>
          <w:rStyle w:val="style18"/>
        </w:rPr>
        <w:t>3)</w:t>
      </w:r>
      <w:r>
        <w:rPr/>
        <w:t xml:space="preserve">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style22"/>
        <w:rPr/>
      </w:pPr>
      <w:bookmarkStart w:id="911" w:name="Lbl6574"/>
      <w:bookmarkEnd w:id="911"/>
      <w:r>
        <w:rPr>
          <w:rStyle w:val="style18"/>
        </w:rPr>
        <w:t>4)</w:t>
      </w:r>
      <w:r>
        <w:rPr/>
        <w:t xml:space="preserve"> суммарные данные по одномандатному (многомандатному) избирательному округу по всем строкам, содержащимся в протоколах участковых избирательных комиссий об итогах голосования;</w:t>
      </w:r>
    </w:p>
    <w:p>
      <w:pPr>
        <w:pStyle w:val="style22"/>
        <w:rPr/>
      </w:pPr>
      <w:bookmarkStart w:id="912" w:name="Lbl6575"/>
      <w:bookmarkEnd w:id="912"/>
      <w:r>
        <w:rPr>
          <w:rStyle w:val="style18"/>
        </w:rPr>
        <w:t>5)</w:t>
      </w:r>
      <w:r>
        <w:rPr/>
        <w:t xml:space="preserve"> если выборы признаны состоявшимися и действительными — фамилия, имя и отчество зарегистрированного кандидата (зарегистрированных кандидатов), избранного (избранных) депутатом (депутатами) представительного органа муниципального образования.</w:t>
      </w:r>
    </w:p>
    <w:p>
      <w:pPr>
        <w:pStyle w:val="style22"/>
        <w:rPr/>
      </w:pPr>
      <w:bookmarkStart w:id="913" w:name="Lbl658"/>
      <w:bookmarkEnd w:id="913"/>
      <w:r>
        <w:rPr>
          <w:rStyle w:val="style18"/>
        </w:rPr>
        <w:t>8.</w:t>
      </w:r>
      <w:r>
        <w:rPr/>
        <w:t xml:space="preserve"> На основании протокола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 окружная избирательная комиссия принимает решение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w:t>
      </w:r>
    </w:p>
    <w:p>
      <w:pPr>
        <w:pStyle w:val="style22"/>
        <w:rPr/>
      </w:pPr>
      <w:bookmarkStart w:id="914" w:name="Lbl659"/>
      <w:bookmarkEnd w:id="914"/>
      <w:r>
        <w:rPr>
          <w:rStyle w:val="style18"/>
        </w:rPr>
        <w:t>9.</w:t>
      </w:r>
      <w:r>
        <w:rPr/>
        <w:t xml:space="preserve"> Окружная избирательная комиссия признает выборы по одномандатному избирательному округу несостоявшимися в случае, если в одномандатном избирательном округе в соответствии с </w:t>
      </w:r>
      <w:hyperlink w:anchor="Lbl3520">
        <w:r>
          <w:rPr>
            <w:rStyle w:val="style17"/>
          </w:rPr>
          <w:t>частью 20 статьи 35</w:t>
        </w:r>
      </w:hyperlink>
      <w:r>
        <w:rP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pPr>
        <w:pStyle w:val="style22"/>
        <w:rPr/>
      </w:pPr>
      <w:bookmarkStart w:id="915" w:name="Lbl6510"/>
      <w:bookmarkEnd w:id="915"/>
      <w:r>
        <w:rPr>
          <w:rStyle w:val="style18"/>
        </w:rPr>
        <w:t>10.</w:t>
      </w:r>
      <w:r>
        <w:rPr/>
        <w:t xml:space="preserve"> Окружная избирательная комиссия признает результаты выборов по одномандатному (многомандатному) избирательному округу недействительными:</w:t>
      </w:r>
    </w:p>
    <w:p>
      <w:pPr>
        <w:pStyle w:val="style22"/>
        <w:rPr/>
      </w:pPr>
      <w:bookmarkStart w:id="916" w:name="Lbl65101"/>
      <w:bookmarkEnd w:id="916"/>
      <w:r>
        <w:rPr>
          <w:rStyle w:val="style18"/>
        </w:rPr>
        <w:t>1)</w:t>
      </w:r>
      <w:r>
        <w:rPr/>
        <w:t xml:space="preserve">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pPr>
        <w:pStyle w:val="style22"/>
        <w:rPr/>
      </w:pPr>
      <w:bookmarkStart w:id="917" w:name="Lbl65102"/>
      <w:bookmarkEnd w:id="917"/>
      <w:r>
        <w:rPr>
          <w:rStyle w:val="style18"/>
        </w:rPr>
        <w:t>2)</w:t>
      </w:r>
      <w:r>
        <w:rPr/>
        <w:t xml:space="preserve"> в случае, если они признаны недействительными на части избирательных участков, число избирателей на которых на момент окончания голосования в совокупности включает не менее чем одну четвертую часть от общего числа избирателей, внесенных в списки избирателей, на момент окончания голосования;</w:t>
      </w:r>
    </w:p>
    <w:p>
      <w:pPr>
        <w:pStyle w:val="style22"/>
        <w:rPr/>
      </w:pPr>
      <w:bookmarkStart w:id="918" w:name="Lbl65103"/>
      <w:bookmarkEnd w:id="918"/>
      <w:r>
        <w:rPr>
          <w:rStyle w:val="style18"/>
        </w:rPr>
        <w:t>3)</w:t>
      </w:r>
      <w:r>
        <w:rPr/>
        <w:t xml:space="preserve"> по решению суда.</w:t>
      </w:r>
    </w:p>
    <w:p>
      <w:pPr>
        <w:pStyle w:val="style22"/>
        <w:rPr/>
      </w:pPr>
      <w:bookmarkStart w:id="919" w:name="Lbl6511"/>
      <w:bookmarkEnd w:id="919"/>
      <w:r>
        <w:rPr>
          <w:rStyle w:val="style18"/>
        </w:rPr>
        <w:t>11.</w:t>
      </w:r>
      <w:r>
        <w:rPr/>
        <w:t xml:space="preserve">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Число голосов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 При равном числе полученных зарегистрированными кандидатами голосов избранный кандидат определяется жребием в порядке, установленном организующей выборы избирательной комиссией, до начала этой процедуры.</w:t>
      </w:r>
    </w:p>
    <w:p>
      <w:pPr>
        <w:pStyle w:val="style22"/>
        <w:rPr/>
      </w:pPr>
      <w:r>
        <w:rPr/>
        <w:t>В случае проведения голосования в одномандатном избирательном округе по одной кандидатуре в соответствии с настоящим Законом кандидат считается избранным, если за него проголосовало не менее 50 процентов избирателей, принявших участие в голосовании.</w:t>
      </w:r>
    </w:p>
    <w:p>
      <w:pPr>
        <w:pStyle w:val="style22"/>
        <w:rPr/>
      </w:pPr>
      <w:r>
        <w:rPr/>
        <w:t>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pPr>
        <w:pStyle w:val="style22"/>
        <w:rPr/>
      </w:pPr>
      <w:r>
        <w:rPr/>
        <w:t>Избранными по многомандатному избирательному округу признаются зарегистрированные кандидаты (зарегистрированный кандидат) в количестве, не превышающем число замещаемых в данном округе мандатов, набравшие (набравший) наибольшее количество голосов избирателей, принявших участие в голосовании. При равном числе полученных зарегистрированными кандидатами голосов избранный кандидат определяется жребием в порядке, установленном организующей выборы избирательной комиссией, до начала этой процедуры.</w:t>
      </w:r>
    </w:p>
    <w:p>
      <w:pPr>
        <w:pStyle w:val="style22"/>
        <w:rPr/>
      </w:pPr>
      <w:bookmarkStart w:id="920" w:name="Lbl6512"/>
      <w:bookmarkEnd w:id="920"/>
      <w:r>
        <w:rPr>
          <w:rStyle w:val="style18"/>
        </w:rPr>
        <w:t>12.</w:t>
      </w:r>
      <w:r>
        <w:rPr/>
        <w:t xml:space="preserve"> При проведении выборов депутатов представительного органа муниципального образования по смешанной избирательной системе окружная избирательная комиссия на основании протоколов № 2 участковых избирательных комиссий об итогах голосования составляет протокол № 2 об итогах голосования по единому избирательному округу на территории одномандатного (многомандатного) избирательного округа, в который вносятся следующие данные:</w:t>
      </w:r>
    </w:p>
    <w:p>
      <w:pPr>
        <w:pStyle w:val="style22"/>
        <w:rPr/>
      </w:pPr>
      <w:bookmarkStart w:id="921" w:name="Lbl65121"/>
      <w:bookmarkEnd w:id="921"/>
      <w:r>
        <w:rPr>
          <w:rStyle w:val="style18"/>
        </w:rPr>
        <w:t>1)</w:t>
      </w:r>
      <w:r>
        <w:rPr/>
        <w:t xml:space="preserve"> число участковых избирательных комиссий в одномандатном (многомандатном) избирательном округе;</w:t>
      </w:r>
    </w:p>
    <w:p>
      <w:pPr>
        <w:pStyle w:val="style22"/>
        <w:rPr/>
      </w:pPr>
      <w:bookmarkStart w:id="922" w:name="Lbl65122"/>
      <w:bookmarkEnd w:id="922"/>
      <w:r>
        <w:rPr>
          <w:rStyle w:val="style18"/>
        </w:rPr>
        <w:t>2)</w:t>
      </w:r>
      <w:r>
        <w:rPr/>
        <w:t xml:space="preserve"> число поступивших протоколов № 2 участковых избирательных комиссий об итогах голосования, на основании которых составлен данный протокол;</w:t>
      </w:r>
    </w:p>
    <w:p>
      <w:pPr>
        <w:pStyle w:val="style22"/>
        <w:rPr/>
      </w:pPr>
      <w:bookmarkStart w:id="923" w:name="Lbl65123"/>
      <w:bookmarkEnd w:id="923"/>
      <w:r>
        <w:rPr>
          <w:rStyle w:val="style18"/>
        </w:rPr>
        <w:t>3)</w:t>
      </w:r>
      <w:r>
        <w:rPr/>
        <w:t xml:space="preserve">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style22"/>
        <w:rPr/>
      </w:pPr>
      <w:bookmarkStart w:id="924" w:name="Lbl65124"/>
      <w:bookmarkEnd w:id="924"/>
      <w:r>
        <w:rPr>
          <w:rStyle w:val="style18"/>
        </w:rPr>
        <w:t>4)</w:t>
      </w:r>
      <w:r>
        <w:rPr/>
        <w:t xml:space="preserve"> суммарные данные по одномандатному (многомандатному) избирательному округу по всем строкам, содержащимся в протоколах № 2 участковых избирательных комиссий об итогах голосования.</w:t>
      </w:r>
    </w:p>
    <w:p>
      <w:pPr>
        <w:pStyle w:val="style22"/>
        <w:rPr/>
      </w:pPr>
      <w:r>
        <w:rPr/>
        <w:t>Указанный протокол не составляется, если полномочия окружной избирательной комиссии возложены на избирательную комиссию муниципального образования.</w:t>
      </w:r>
    </w:p>
    <w:p>
      <w:pPr>
        <w:pStyle w:val="style22"/>
        <w:rPr/>
      </w:pPr>
      <w:bookmarkStart w:id="925" w:name="Lbl6513"/>
      <w:bookmarkEnd w:id="925"/>
      <w:r>
        <w:rPr>
          <w:rStyle w:val="style18"/>
        </w:rPr>
        <w:t>13.</w:t>
      </w:r>
      <w:r>
        <w:rPr/>
        <w:t xml:space="preserve"> Перед подписанием протоколов окружная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избирателей и составлением протоколов участковых избирательных комиссий. После этого окружная избирательная комиссия подписывает протоколы об итогах голосования, о результатах выборов и выдает их копии лицам, указанным в </w:t>
      </w:r>
      <w:hyperlink w:anchor="Lbl213">
        <w:r>
          <w:rPr>
            <w:rStyle w:val="style17"/>
          </w:rPr>
          <w:t>части 3 статьи 21</w:t>
        </w:r>
      </w:hyperlink>
      <w:r>
        <w:rPr/>
        <w:t xml:space="preserve"> настоящего Закона. Протоколы об итогах голосования, о результатах выборов составляются в двух экземплярах и подписываются всеми присутствующими членами окружной избирательной комиссии с правом решающего голоса, заверяются печатью окружной избирательной комиссии, в них проставляются дата и время (час с минутами) их подписания (если протокол составлен более чем на одном листе, указанные действия осуществляются на каждом листе протокола). Подписание протокола с нарушением этого порядка является основанием для признания протокола недействительным. Член окружной избирательной комиссии с правом решающего голоса, несогласный с протоколами в целом или с отдельными их положениями, вправе приложить к протоколам особое мнение, о чем в протоколах делаются соответствующие записи.</w:t>
      </w:r>
    </w:p>
    <w:p>
      <w:pPr>
        <w:pStyle w:val="style22"/>
        <w:rPr/>
      </w:pPr>
      <w:bookmarkStart w:id="926" w:name="Lbl6514"/>
      <w:bookmarkEnd w:id="926"/>
      <w:r>
        <w:rPr>
          <w:rStyle w:val="style18"/>
        </w:rPr>
        <w:t>14.</w:t>
      </w:r>
      <w:r>
        <w:rPr/>
        <w:t xml:space="preserve"> К каждому экземпляру соответствующего протокола приобщаются:</w:t>
      </w:r>
    </w:p>
    <w:p>
      <w:pPr>
        <w:pStyle w:val="style22"/>
        <w:rPr/>
      </w:pPr>
      <w:bookmarkStart w:id="927" w:name="Lbl65141"/>
      <w:bookmarkEnd w:id="927"/>
      <w:r>
        <w:rPr>
          <w:rStyle w:val="style18"/>
        </w:rPr>
        <w:t>1)</w:t>
      </w:r>
      <w:r>
        <w:rPr/>
        <w:t xml:space="preserve"> сводная таблица о результатах выборов по одномандатному (многомандатному) избирательному округу или об итогах голосования по единому избирательному округу, включающая в себя полные данные всех поступивших протоколов участковых избирательных комиссий об итогах голосования;</w:t>
      </w:r>
    </w:p>
    <w:p>
      <w:pPr>
        <w:pStyle w:val="style22"/>
        <w:rPr/>
      </w:pPr>
      <w:bookmarkStart w:id="928" w:name="Lbl65142"/>
      <w:bookmarkEnd w:id="928"/>
      <w:r>
        <w:rPr>
          <w:rStyle w:val="style18"/>
        </w:rPr>
        <w:t>2)</w:t>
      </w:r>
      <w:r>
        <w:rPr/>
        <w:t xml:space="preserve"> акты о получении окружной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окружной избирательной комиссии, с указанием количества этих бюллетеней.</w:t>
      </w:r>
    </w:p>
    <w:p>
      <w:pPr>
        <w:pStyle w:val="style22"/>
        <w:rPr/>
      </w:pPr>
      <w:bookmarkStart w:id="929" w:name="Lbl6515"/>
      <w:bookmarkEnd w:id="929"/>
      <w:r>
        <w:rPr>
          <w:rStyle w:val="style18"/>
        </w:rPr>
        <w:t>15.</w:t>
      </w:r>
      <w:r>
        <w:rPr/>
        <w:t xml:space="preserve"> Сводная таблица о результатах выборов депутатов представительного органа муниципального образования по одномандатному (многомандатному) избирательному округу подписывается всеми присутствующими членами окружной избирательной комиссии с правом решающего голоса. Сводная таблица об итогах голосования по единому избирательному округу и акты, указанные в </w:t>
      </w:r>
      <w:hyperlink w:anchor="Lbl6514">
        <w:r>
          <w:rPr>
            <w:rStyle w:val="style17"/>
          </w:rPr>
          <w:t>части 14</w:t>
        </w:r>
      </w:hyperlink>
      <w:r>
        <w:rPr/>
        <w:t xml:space="preserve"> настоящей статьи, подписываются председателем (заместителем председателя) и секретарем окружной избирательной комиссии.</w:t>
      </w:r>
    </w:p>
    <w:p>
      <w:pPr>
        <w:pStyle w:val="style22"/>
        <w:rPr/>
      </w:pPr>
      <w:bookmarkStart w:id="930" w:name="Lbl6516"/>
      <w:bookmarkEnd w:id="930"/>
      <w:r>
        <w:rPr>
          <w:rStyle w:val="style18"/>
        </w:rPr>
        <w:t>16.</w:t>
      </w:r>
      <w:r>
        <w:rPr/>
        <w:t xml:space="preserve"> К первым экземплярам протоколов окружной избирательной комиссии об итогах голосования, о результатах выборов приобщаются особые мнения членов окружной избирательной комиссии,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жалобы (заявления) на нарушения настоящего Закона и принятые по указанным жалобам (заявлениям) решения. Заверенные копии особых мнений, жалоб (заявлений) и решений окружной избирательной комиссии приобщаются ко вторым экземплярам протоколов.</w:t>
      </w:r>
    </w:p>
    <w:p>
      <w:pPr>
        <w:pStyle w:val="style22"/>
        <w:rPr/>
      </w:pPr>
      <w:bookmarkStart w:id="931" w:name="Lbl6517"/>
      <w:bookmarkEnd w:id="931"/>
      <w:r>
        <w:rPr>
          <w:rStyle w:val="style18"/>
        </w:rPr>
        <w:t>17.</w:t>
      </w:r>
      <w:r>
        <w:rPr/>
        <w:t xml:space="preserve"> Первые экземпляры каждого протокола окружной избирательной комиссии с приобщенными к ним документами незамедлительно после подписания протоколов и сводных таблиц направляются в избирательную комиссию муниципального образования и возврату в окружную избирательную комиссию не подлежат.</w:t>
      </w:r>
    </w:p>
    <w:p>
      <w:pPr>
        <w:pStyle w:val="style22"/>
        <w:rPr/>
      </w:pPr>
      <w:bookmarkStart w:id="932" w:name="Lbl6518"/>
      <w:bookmarkEnd w:id="932"/>
      <w:r>
        <w:rPr>
          <w:rStyle w:val="style18"/>
        </w:rPr>
        <w:t>18.</w:t>
      </w:r>
      <w:r>
        <w:rPr/>
        <w:t xml:space="preserve"> Вторые экземпляры протоколов окружной избирательной комиссии, вторые экземпляры сводных таблиц и актов, указанных в </w:t>
      </w:r>
      <w:hyperlink w:anchor="Lbl6514">
        <w:r>
          <w:rPr>
            <w:rStyle w:val="style17"/>
          </w:rPr>
          <w:t>части 14</w:t>
        </w:r>
      </w:hyperlink>
      <w:r>
        <w:rPr/>
        <w:t xml:space="preserve"> настоящей статьи, предоставляются для ознакомления членам окружной избирательной комиссии и членам избирательной комиссии муниципального образования с правом совещательного голоса, наблюдателям, иным лицам, указанным в </w:t>
      </w:r>
      <w:hyperlink w:anchor="Lbl213">
        <w:r>
          <w:rPr>
            <w:rStyle w:val="style17"/>
          </w:rPr>
          <w:t>части 3 статьи 21</w:t>
        </w:r>
      </w:hyperlink>
      <w:r>
        <w:rPr/>
        <w:t xml:space="preserve"> настоящего Закона, а их заверенные копии вывешиваются для всеобщего обозрения в месте, установленном окружной избирательной комиссией.</w:t>
      </w:r>
    </w:p>
    <w:p>
      <w:pPr>
        <w:pStyle w:val="style22"/>
        <w:rPr/>
      </w:pPr>
      <w:bookmarkStart w:id="933" w:name="Lbl6519"/>
      <w:bookmarkEnd w:id="933"/>
      <w:r>
        <w:rPr>
          <w:rStyle w:val="style18"/>
        </w:rPr>
        <w:t>19.</w:t>
      </w:r>
      <w:r>
        <w:rPr/>
        <w:t xml:space="preserve"> Вторые экземпляры протоколов окружной избирательной комиссии вместе со вторыми экземплярами сводных таблиц, актов, указанных в </w:t>
      </w:r>
      <w:hyperlink w:anchor="Lbl6514">
        <w:r>
          <w:rPr>
            <w:rStyle w:val="style17"/>
          </w:rPr>
          <w:t>части 14</w:t>
        </w:r>
      </w:hyperlink>
      <w:r>
        <w:rPr/>
        <w:t xml:space="preserve"> настоящей статьи, списками членов избирательной комиссии с правом совещательного голоса, наблюдателей, иных лиц, указанных в </w:t>
      </w:r>
      <w:hyperlink w:anchor="Lbl213">
        <w:r>
          <w:rPr>
            <w:rStyle w:val="style17"/>
          </w:rPr>
          <w:t>части 3 статьи 21</w:t>
        </w:r>
      </w:hyperlink>
      <w:r>
        <w:rPr/>
        <w:t xml:space="preserve"> настоящего Закона, присутствовавших при установлении итогов голосования, определении результатов выборов и составлении соответствующих протоколов, и с другой документацией, предусмотренной настоящим Законом, хранятся секретарем окружной избирательной комиссии в охраняемом помещении.</w:t>
      </w:r>
    </w:p>
    <w:p>
      <w:pPr>
        <w:pStyle w:val="style22"/>
        <w:rPr/>
      </w:pPr>
      <w:bookmarkStart w:id="934" w:name="Lbl6520"/>
      <w:bookmarkEnd w:id="934"/>
      <w:r>
        <w:rPr>
          <w:rStyle w:val="style18"/>
        </w:rPr>
        <w:t>20.</w:t>
      </w:r>
      <w:r>
        <w:rPr/>
        <w:t xml:space="preserve"> Если после подписания протоколов об итогах голосования, о результатах выборов и (или) сводных таблиц и направления в избирательную комиссию муниципального образования их первых экземпляров окружная избирательная комиссия либо избирательная комиссия муниципального образования в ходе предварительной проверки выявила в них неточность (описку, опечатку либо ошибку в сложении данных протоколов участковых избирательных комиссий), окружная избирательная комиссия обязана на своем заседании рассмотреть вопрос о внесении уточнений в строки 1 — 11 протокола и (или) сводную таблицу. О принятом решении окружная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окружная избирательная комиссия составляет протоколы об итогах голосования, о результатах выборов и (или) сводную таблицу, на которых делается отметка: «Повторный» и (или) «Повторная». Указанные протоколы и (или) сводная таблица незамедлительно направляются в избирательную комиссию муниципального образования.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w:anchor="Lbl6521">
        <w:r>
          <w:rPr>
            <w:rStyle w:val="style17"/>
          </w:rPr>
          <w:t>частью 21</w:t>
        </w:r>
      </w:hyperlink>
      <w:r>
        <w:rPr/>
        <w:t xml:space="preserve"> настоящей статьи.</w:t>
      </w:r>
    </w:p>
    <w:p>
      <w:pPr>
        <w:pStyle w:val="style22"/>
        <w:rPr/>
      </w:pPr>
      <w:bookmarkStart w:id="935" w:name="Lbl6521"/>
      <w:bookmarkEnd w:id="935"/>
      <w:r>
        <w:rPr>
          <w:rStyle w:val="style18"/>
        </w:rPr>
        <w:t>21.</w:t>
      </w:r>
      <w:r>
        <w:rPr/>
        <w:t xml:space="preserve"> При выявлении ошибок, несоответствий в протоколах об итогах голосования, возникновении сомнений в правильности составления протоколов, поступивших из участковых избирательных комиссий,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Указанный повторный подсчет может проводиться до определения окружной избирательной комиссией результатов выборов по одномандатному (многомандатному) избирательному округу, установления итогов голосования по единому избирательному округу и составления ею соответствующих протоколов. Повторный подсчет голосов избирателей проводится в присутствии члена (членов) окружной избирательной комиссии с правом решающего голоса участковой избирательной комиссией, составившей и утвердившей протокол об итогах голосования, который подлежит проверке, либо самой окружной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с правом совещательного голоса, наблюдателей, иных лиц, указанных в </w:t>
      </w:r>
      <w:hyperlink w:anchor="Lbl213">
        <w:r>
          <w:rPr>
            <w:rStyle w:val="style17"/>
          </w:rPr>
          <w:t>части 3 статьи 21</w:t>
        </w:r>
      </w:hyperlink>
      <w:r>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Lbl213">
        <w:r>
          <w:rPr>
            <w:rStyle w:val="style17"/>
          </w:rPr>
          <w:t>части 3 статьи 21</w:t>
        </w:r>
      </w:hyperlink>
      <w:r>
        <w:rPr/>
        <w:t xml:space="preserve"> настоящего Закона. Если протокол составляется участковой избирательной комиссией, он незамедлительно направляется в окружную избирательную комиссию. Ранее представленный протокол об итогах голосования приобщается к протоколу, составленному по итогам повторного подсчета голосов избирателей.</w:t>
      </w:r>
    </w:p>
    <w:p>
      <w:pPr>
        <w:pStyle w:val="style22"/>
        <w:rPr/>
      </w:pPr>
      <w:r>
        <w:rPr/>
        <w:t>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pPr>
        <w:pStyle w:val="style38"/>
        <w:rPr/>
      </w:pPr>
      <w:bookmarkStart w:id="936" w:name="Lbl66"/>
      <w:bookmarkEnd w:id="936"/>
      <w:r>
        <w:rPr/>
        <w:t>Статья 66 настоящего Закона распространяется на правоотношения, возникшие в связи с проведением выборов, назначенных после дня вступления в силу Закона Рязанской области от 14 мая 2013 г. № 24-ОЗ</w:t>
      </w:r>
    </w:p>
    <w:p>
      <w:pPr>
        <w:pStyle w:val="style47"/>
        <w:rPr/>
      </w:pPr>
      <w:r>
        <w:rPr/>
        <w:t>Статья 66</w:t>
      </w:r>
    </w:p>
    <w:p>
      <w:pPr>
        <w:pStyle w:val="style46"/>
        <w:rPr/>
      </w:pPr>
      <w:r>
        <w:rPr>
          <w:rStyle w:val="style18"/>
        </w:rPr>
        <w:t>Статья 66</w:t>
      </w:r>
      <w:r>
        <w:rPr/>
        <w:t>. Определение результатов выборов по единому избирательному округу</w:t>
      </w:r>
    </w:p>
    <w:p>
      <w:pPr>
        <w:pStyle w:val="style22"/>
        <w:rPr/>
      </w:pPr>
      <w:bookmarkStart w:id="937" w:name="Lbl661"/>
      <w:bookmarkEnd w:id="937"/>
      <w:r>
        <w:rPr>
          <w:rStyle w:val="style18"/>
        </w:rPr>
        <w:t>1.</w:t>
      </w:r>
      <w:r>
        <w:rPr/>
        <w:t xml:space="preserve"> На основании данных, содержащихся в первых экземплярах протоколов об итогах голосования по единому избирательному округу, полученных из нижестоящих избирательных комиссий (при пропорциональной избирательной системе — из участковых избирательных комиссий, при смешанной избирательной системе — из окружных избирательных комиссий), избирательная комиссия муниципального образования после предварительной проверки правильности составления указанных протоколов путем суммирования содержащихся в них данных не позднее чем через семь дней после дня голосования определяет результаты выборов по единому избирательному округу. Суммирование данных, содержащихся в протоколах нижестоящих избирательных комиссий, осуществляют непосредственно члены избирательной комиссии муниципального образования с правом решающего голоса.</w:t>
      </w:r>
    </w:p>
    <w:p>
      <w:pPr>
        <w:pStyle w:val="style22"/>
        <w:rPr/>
      </w:pPr>
      <w:bookmarkStart w:id="938" w:name="Lbl662"/>
      <w:bookmarkEnd w:id="938"/>
      <w:r>
        <w:rPr>
          <w:rStyle w:val="style18"/>
        </w:rPr>
        <w:t>2.</w:t>
      </w:r>
      <w:r>
        <w:rPr/>
        <w:t xml:space="preserve"> Прием протоколов нижестоящих избирательных комиссий об итогах голосования по единому избирательному округу, суммирование данных, содержащихся в них, и составление избирательной комиссией муниципального образования протокола о результатах выборов депутатов представительного органа муниципального образования по единому избирательному округу осуществляются в одном помещении, при этом все действия членов избирательной комиссии по приему протоколов нижестоящих избирательных комиссий, суммированию данных, содержащихся в них, и составлению протокола избирательной комиссии муниципального образования должны находиться в поле зрения членов избирательной комиссии муниципального образования, иных лиц, указанных в </w:t>
      </w:r>
      <w:hyperlink w:anchor="Lbl213">
        <w:r>
          <w:rPr>
            <w:rStyle w:val="style17"/>
          </w:rPr>
          <w:t>части 3 статьи 21</w:t>
        </w:r>
      </w:hyperlink>
      <w:r>
        <w:rPr/>
        <w:t xml:space="preserve"> настоящего Закона. В указанном помещении должна находиться увеличенная форма сводной таблицы избирательной комиссии муниципального образования, в которую немедленно после прибытия председателя, секретаря или иного члена соответствующей избирательной комиссии с правом решающего голоса с первым экземпляром протокола нижестоящей избирательной комиссии вносятся данные, содержащиеся в этом протоколе, с указанием времени их внесения. Дальнейшая работа с протоколами нижестоящих избирательных комиссий осуществляется в порядке, предусмотренном </w:t>
      </w:r>
      <w:hyperlink w:anchor="Lbl653">
        <w:r>
          <w:rPr>
            <w:rStyle w:val="style17"/>
          </w:rPr>
          <w:t>частями 3</w:t>
        </w:r>
      </w:hyperlink>
      <w:r>
        <w:rPr/>
        <w:t xml:space="preserve">, </w:t>
      </w:r>
      <w:hyperlink w:anchor="Lbl654">
        <w:r>
          <w:rPr>
            <w:rStyle w:val="style17"/>
          </w:rPr>
          <w:t>4</w:t>
        </w:r>
      </w:hyperlink>
      <w:r>
        <w:rPr/>
        <w:t xml:space="preserve"> и </w:t>
      </w:r>
      <w:hyperlink w:anchor="Lbl655">
        <w:r>
          <w:rPr>
            <w:rStyle w:val="style17"/>
          </w:rPr>
          <w:t>5 статьи 65</w:t>
        </w:r>
      </w:hyperlink>
      <w:r>
        <w:rPr/>
        <w:t xml:space="preserve"> настоящего Закона.</w:t>
      </w:r>
    </w:p>
    <w:p>
      <w:pPr>
        <w:pStyle w:val="style22"/>
        <w:rPr/>
      </w:pPr>
      <w:bookmarkStart w:id="939" w:name="Lbl663"/>
      <w:bookmarkEnd w:id="939"/>
      <w:r>
        <w:rPr>
          <w:rStyle w:val="style18"/>
        </w:rPr>
        <w:t>3.</w:t>
      </w:r>
      <w:r>
        <w:rPr/>
        <w:t xml:space="preserve"> Избирательная комиссия муниципального образования на основании протоколов участковых избирательных комиссий об итогах голосования по единому избирательному округу составляет протокол о результатах выборов депутатов представительного органа муниципального образования по единому избирательному округу, в который вносятся следующие данные:</w:t>
      </w:r>
    </w:p>
    <w:p>
      <w:pPr>
        <w:pStyle w:val="style22"/>
        <w:rPr/>
      </w:pPr>
      <w:bookmarkStart w:id="940" w:name="Lbl6631"/>
      <w:bookmarkEnd w:id="940"/>
      <w:r>
        <w:rPr>
          <w:rStyle w:val="style18"/>
        </w:rPr>
        <w:t>1)</w:t>
      </w:r>
      <w:r>
        <w:rPr/>
        <w:t xml:space="preserve"> число участковых избирательных комиссий;</w:t>
      </w:r>
    </w:p>
    <w:p>
      <w:pPr>
        <w:pStyle w:val="style22"/>
        <w:rPr/>
      </w:pPr>
      <w:bookmarkStart w:id="941" w:name="Lbl6632"/>
      <w:bookmarkEnd w:id="941"/>
      <w:r>
        <w:rPr>
          <w:rStyle w:val="style18"/>
        </w:rPr>
        <w:t>2)</w:t>
      </w:r>
      <w:r>
        <w:rPr/>
        <w:t xml:space="preserve"> число поступивших протоколов участковых избирательных комиссий об итогах голосования, на основании которых составлен данный протокол;</w:t>
      </w:r>
    </w:p>
    <w:p>
      <w:pPr>
        <w:pStyle w:val="style22"/>
        <w:rPr/>
      </w:pPr>
      <w:bookmarkStart w:id="942" w:name="Lbl6633"/>
      <w:bookmarkEnd w:id="942"/>
      <w:r>
        <w:rPr>
          <w:rStyle w:val="style18"/>
        </w:rPr>
        <w:t>3)</w:t>
      </w:r>
      <w:r>
        <w:rPr/>
        <w:t xml:space="preserve"> суммарные данные по всем строкам, содержащимся в протоколах участковых избирательных комиссий об итогах голосования;</w:t>
      </w:r>
    </w:p>
    <w:p>
      <w:pPr>
        <w:pStyle w:val="style22"/>
        <w:rPr/>
      </w:pPr>
      <w:bookmarkStart w:id="943" w:name="Lbl6634"/>
      <w:bookmarkEnd w:id="943"/>
      <w:r>
        <w:rPr>
          <w:rStyle w:val="style18"/>
        </w:rPr>
        <w:t>4)</w:t>
      </w:r>
      <w:r>
        <w:rPr/>
        <w:t xml:space="preserve"> доля голосов избирателей (в процентах), поданных за каждый муниципальный список кандидатов, от числа избирателей, принявших участие в голосовании;</w:t>
      </w:r>
    </w:p>
    <w:p>
      <w:pPr>
        <w:pStyle w:val="style22"/>
        <w:rPr/>
      </w:pPr>
      <w:bookmarkStart w:id="944" w:name="Lbl6635"/>
      <w:bookmarkEnd w:id="944"/>
      <w:r>
        <w:rPr>
          <w:rStyle w:val="style18"/>
        </w:rPr>
        <w:t>5)</w:t>
      </w:r>
      <w:r>
        <w:rPr/>
        <w:t xml:space="preserve"> число избирателей, принявших участие в голосовании на выборах депутатов представительного органа муниципального образования по единому избирательному округу, и доля (в процентах) этого числа от числа избирателей, включенных в списки избирателей;</w:t>
      </w:r>
    </w:p>
    <w:p>
      <w:pPr>
        <w:pStyle w:val="style22"/>
        <w:rPr/>
      </w:pPr>
      <w:bookmarkStart w:id="945" w:name="Lbl6636"/>
      <w:bookmarkEnd w:id="945"/>
      <w:r>
        <w:rPr>
          <w:rStyle w:val="style18"/>
        </w:rPr>
        <w:t>6)</w:t>
      </w:r>
      <w:r>
        <w:rPr/>
        <w:t xml:space="preserve">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pPr>
        <w:pStyle w:val="style22"/>
        <w:rPr/>
      </w:pPr>
      <w:bookmarkStart w:id="946" w:name="Lbl6637"/>
      <w:bookmarkEnd w:id="946"/>
      <w:r>
        <w:rPr>
          <w:rStyle w:val="style18"/>
        </w:rPr>
        <w:t>7)</w:t>
      </w:r>
      <w:r>
        <w:rPr/>
        <w:t xml:space="preserve"> фамилии, имена и отчества зарегистрированных кандидатов, избранных депутатами представительного органа муниципального образования, из каждого списка кандидатов, допущенного к распределению депутатских мандатов.</w:t>
      </w:r>
    </w:p>
    <w:p>
      <w:pPr>
        <w:pStyle w:val="style22"/>
        <w:rPr/>
      </w:pPr>
      <w:bookmarkStart w:id="947" w:name="Lbl664"/>
      <w:bookmarkEnd w:id="947"/>
      <w:r>
        <w:rPr>
          <w:rStyle w:val="style18"/>
        </w:rPr>
        <w:t>4.</w:t>
      </w:r>
      <w:r>
        <w:rPr/>
        <w:t xml:space="preserve"> На основании протокола о результатах выборов депутатов представительного органа муниципального образования по единому избирательному округу избирательная комиссия муниципального образования принимает решение о результатах выборов по единому избирательному округу.</w:t>
      </w:r>
    </w:p>
    <w:p>
      <w:pPr>
        <w:pStyle w:val="style22"/>
        <w:rPr/>
      </w:pPr>
      <w:bookmarkStart w:id="948" w:name="Lbl665"/>
      <w:bookmarkEnd w:id="948"/>
      <w:r>
        <w:rPr>
          <w:rStyle w:val="style18"/>
        </w:rPr>
        <w:t>5.</w:t>
      </w:r>
      <w:r>
        <w:rPr/>
        <w:t xml:space="preserve"> Избирательная комиссия муниципального образования признает выборы не состоявшимися:</w:t>
      </w:r>
    </w:p>
    <w:p>
      <w:pPr>
        <w:pStyle w:val="style22"/>
        <w:rPr/>
      </w:pPr>
      <w:bookmarkStart w:id="949" w:name="Lbl6651"/>
      <w:bookmarkEnd w:id="949"/>
      <w:r>
        <w:rPr>
          <w:rStyle w:val="style18"/>
        </w:rPr>
        <w:t>1)</w:t>
      </w:r>
      <w:r>
        <w:rPr/>
        <w:t xml:space="preserve"> если менее чем два муниципальных списка кандидатов при голосовании за муниципальные списки кандидатов получили право принять участие в распределении депутатских мандатов;</w:t>
      </w:r>
    </w:p>
    <w:p>
      <w:pPr>
        <w:pStyle w:val="style22"/>
        <w:rPr/>
      </w:pPr>
      <w:bookmarkStart w:id="950" w:name="Lbl6652"/>
      <w:bookmarkEnd w:id="950"/>
      <w:r>
        <w:rPr>
          <w:rStyle w:val="style18"/>
        </w:rPr>
        <w:t>2)</w:t>
      </w:r>
      <w:r>
        <w:rPr/>
        <w:t xml:space="preserve"> если за муниципальные списки кандидатов, получившие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pPr>
        <w:pStyle w:val="style22"/>
        <w:rPr/>
      </w:pPr>
      <w:bookmarkStart w:id="951" w:name="Lbl666"/>
      <w:bookmarkEnd w:id="951"/>
      <w:r>
        <w:rPr>
          <w:rStyle w:val="style18"/>
        </w:rPr>
        <w:t>6.</w:t>
      </w:r>
      <w:r>
        <w:rPr/>
        <w:t xml:space="preserve"> Избирательная комиссия муниципального образования признает результаты выборов депутатов представительного органа муниципального образования по единому избирательному округу недействительными:</w:t>
      </w:r>
    </w:p>
    <w:p>
      <w:pPr>
        <w:pStyle w:val="style22"/>
        <w:rPr/>
      </w:pPr>
      <w:bookmarkStart w:id="952" w:name="Lbl6661"/>
      <w:bookmarkEnd w:id="952"/>
      <w:r>
        <w:rPr>
          <w:rStyle w:val="style18"/>
        </w:rPr>
        <w:t>1)</w:t>
      </w:r>
      <w:r>
        <w:rPr/>
        <w:t xml:space="preserve">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pPr>
        <w:pStyle w:val="style22"/>
        <w:rPr/>
      </w:pPr>
      <w:bookmarkStart w:id="953" w:name="Lbl6662"/>
      <w:bookmarkEnd w:id="953"/>
      <w:r>
        <w:rPr>
          <w:rStyle w:val="style18"/>
        </w:rPr>
        <w:t>2)</w:t>
      </w:r>
      <w:r>
        <w:rPr/>
        <w:t xml:space="preserve">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включенных в списки избирателей на момент окончания голосования в едином избирательном округе;</w:t>
      </w:r>
    </w:p>
    <w:p>
      <w:pPr>
        <w:pStyle w:val="style22"/>
        <w:rPr/>
      </w:pPr>
      <w:bookmarkStart w:id="954" w:name="Lbl6663"/>
      <w:bookmarkEnd w:id="954"/>
      <w:r>
        <w:rPr>
          <w:rStyle w:val="style18"/>
        </w:rPr>
        <w:t>3)</w:t>
      </w:r>
      <w:r>
        <w:rPr/>
        <w:t xml:space="preserve"> по решению суда.</w:t>
      </w:r>
    </w:p>
    <w:p>
      <w:pPr>
        <w:pStyle w:val="style22"/>
        <w:rPr/>
      </w:pPr>
      <w:bookmarkStart w:id="955" w:name="Lbl667"/>
      <w:bookmarkEnd w:id="955"/>
      <w:r>
        <w:rPr>
          <w:rStyle w:val="style18"/>
        </w:rPr>
        <w:t>7.</w:t>
      </w:r>
      <w:r>
        <w:rPr/>
        <w:t xml:space="preserve"> Число избирателей, принявших участие в голосовании, определяется по числу избирательных бюллетеней установленной формы, содержащихся в ящиках для голосования.</w:t>
      </w:r>
    </w:p>
    <w:p>
      <w:pPr>
        <w:pStyle w:val="style22"/>
        <w:rPr/>
      </w:pPr>
      <w:bookmarkStart w:id="956" w:name="Lbl668"/>
      <w:bookmarkEnd w:id="956"/>
      <w:r>
        <w:rPr>
          <w:rStyle w:val="style18"/>
        </w:rPr>
        <w:t>8.</w:t>
      </w:r>
      <w:r>
        <w:rPr/>
        <w:t xml:space="preserve"> К распределению депутатских мандатов допускаются списки кандидатов, каждый из которых получил пять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списки кандидатов к распределению депутатских мандатов не допускаются.</w:t>
      </w:r>
    </w:p>
    <w:p>
      <w:pPr>
        <w:pStyle w:val="style22"/>
        <w:rPr/>
      </w:pPr>
      <w:bookmarkStart w:id="957" w:name="Lbl669"/>
      <w:bookmarkEnd w:id="957"/>
      <w:r>
        <w:rPr>
          <w:rStyle w:val="style18"/>
        </w:rPr>
        <w:t>9.</w:t>
      </w:r>
      <w:r>
        <w:rPr/>
        <w:t xml:space="preserve"> Если за списки кандидатов, каждый из которых получил пять и более процентов голосов избирателей, принявших участие в голосовании,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списки кандидатов, получившие менее пяти процентов голосов избирателей, принявших участие в голосовании, пока общее число голосов избирателей, поданных за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pPr>
        <w:pStyle w:val="style22"/>
        <w:rPr/>
      </w:pPr>
      <w:bookmarkStart w:id="958" w:name="Lbl6610"/>
      <w:bookmarkEnd w:id="958"/>
      <w:r>
        <w:rPr>
          <w:rStyle w:val="style18"/>
        </w:rPr>
        <w:t>10.</w:t>
      </w:r>
      <w:r>
        <w:rPr/>
        <w:t xml:space="preserve"> Если за один муниципальный список кандидатов подано более 50 процентов голосов избирателей, принявших участие в голосовании, а остальные списки кандидатов получили менее пяти процентов голосов избирателей, принявших участие в голосовании, к распределению депутатских мандатов допускается указанный список кандидатов, а также муниципальный список кандидатов, получивший наибольшее число голосов избирателей, принявших участие в голосовании, из числа списков кандидатов, получивших менее пяти процентов голосов избирателей, принявших участие в голосовании.</w:t>
      </w:r>
    </w:p>
    <w:p>
      <w:pPr>
        <w:pStyle w:val="style41"/>
        <w:rPr/>
      </w:pPr>
      <w:bookmarkStart w:id="959" w:name="Lbl6611"/>
      <w:bookmarkEnd w:id="959"/>
      <w:r>
        <w:rPr/>
        <w:t>Законом Рязанской области от 14 мая 2013 г. № 24-ОЗ в часть 11 статьи 66 главы 9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11.</w:t>
      </w:r>
      <w:r>
        <w:rPr/>
        <w:t xml:space="preserve"> Списки кандидатов, допущенные к распределению депутатских мандатов, получают указанные мандаты в соответствии с методикой распределения депутатских мандатов, предусмотренной </w:t>
      </w:r>
      <w:hyperlink w:anchor="Lbl68">
        <w:r>
          <w:rPr>
            <w:rStyle w:val="style17"/>
          </w:rPr>
          <w:t>статьей 68</w:t>
        </w:r>
      </w:hyperlink>
      <w:r>
        <w:rPr/>
        <w:t xml:space="preserve"> настоящего Закона.</w:t>
      </w:r>
    </w:p>
    <w:p>
      <w:pPr>
        <w:pStyle w:val="style41"/>
        <w:rPr/>
      </w:pPr>
      <w:bookmarkStart w:id="960" w:name="Lbl6612"/>
      <w:bookmarkEnd w:id="960"/>
      <w:r>
        <w:rPr/>
        <w:t>Законом Рязанской области от 14 мая 2013 г. № 24-ОЗ часть 12 статьи 66 главы 9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12.</w:t>
      </w:r>
      <w:r>
        <w:rPr/>
        <w:t xml:space="preserve"> Депутатские мандаты, полученные муниципальным списком кандидатов, переходят в первую очередь к зарегистрированным кандидатам, включенным в общемуниципальную часть списка кандидатов в порядке очередности их размещения в указанном списке. Оставшиеся депутатские мандаты переходят к зарегистрированным кандидатам, включенным во внутримуниципальные группы кандидатов в соответствии с методикой распределения депутатских мандатов, предусмотренной </w:t>
      </w:r>
      <w:hyperlink w:anchor="Lbl68">
        <w:r>
          <w:rPr>
            <w:rStyle w:val="style17"/>
          </w:rPr>
          <w:t>статьей 68</w:t>
        </w:r>
      </w:hyperlink>
      <w:r>
        <w:rPr/>
        <w:t xml:space="preserve"> настоящего Закона.</w:t>
      </w:r>
    </w:p>
    <w:p>
      <w:pPr>
        <w:pStyle w:val="style22"/>
        <w:rPr/>
      </w:pPr>
      <w:r>
        <w:rPr/>
        <w:t>При этом до применения указанной методики из каждого списка исключаются депутаты, избранные по одномандатным (многомандатным) избирательным округам.</w:t>
      </w:r>
    </w:p>
    <w:p>
      <w:pPr>
        <w:pStyle w:val="style22"/>
        <w:rPr/>
      </w:pPr>
      <w:bookmarkStart w:id="961" w:name="Lbl6613"/>
      <w:bookmarkEnd w:id="961"/>
      <w:r>
        <w:rPr>
          <w:rStyle w:val="style18"/>
        </w:rPr>
        <w:t>13.</w:t>
      </w:r>
      <w:r>
        <w:rPr/>
        <w:t xml:space="preserve"> В течение семи дней со дня голосования зарегистрированный кандидат может отказаться от получения депутатского мандата. Заявление об отказе от депутатского мандата не подлежит отзыву. Отказ зарегистрированного кандидата от получения депутатского мандата влечет за собой изменение порядка размещения зарегистрированных кандидатов в соответствующем списке кандидатов.</w:t>
      </w:r>
    </w:p>
    <w:p>
      <w:pPr>
        <w:pStyle w:val="style22"/>
        <w:rPr/>
      </w:pPr>
      <w:bookmarkStart w:id="962" w:name="Lbl6614"/>
      <w:bookmarkEnd w:id="962"/>
      <w:r>
        <w:rPr>
          <w:rStyle w:val="style18"/>
        </w:rPr>
        <w:t>14.</w:t>
      </w:r>
      <w:r>
        <w:rPr/>
        <w:t xml:space="preserve"> Протокол избирательной комиссии муниципального образования о результатах выборов депутатов представительного органа муниципального образования по единому избирательному округу подписывается всеми присутствующими членами избирательной комиссии муниципального образования с правом решающего голоса, заверяется печатью избирательной комиссии муниципального образования, в нем проставляются дата и время (час с минутами) его подписания (если протокол составлен более чем на одном листе, указанные действия осуществляются на каждом листе протокола). К протоколу прилагается сводная таблица, включающая в себя полные данные всех поступивших протоколов участковых избирательных комиссий об итогах голосования по единому избирательному округу.</w:t>
      </w:r>
    </w:p>
    <w:p>
      <w:pPr>
        <w:pStyle w:val="style22"/>
        <w:rPr/>
      </w:pPr>
      <w:bookmarkStart w:id="963" w:name="Lbl6615"/>
      <w:bookmarkEnd w:id="963"/>
      <w:r>
        <w:rPr>
          <w:rStyle w:val="style18"/>
        </w:rPr>
        <w:t>15.</w:t>
      </w:r>
      <w:r>
        <w:rPr/>
        <w:t xml:space="preserve"> Член избирательной комиссии муниципального образования с правом решающего голоса, несогласный с протоколом избирательной комиссии муниципального образования о результатах выборов депутатов представительного органа муниципального образования по единому избирательному округу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прилагаются жалобы (заявления) на нарушения настоящего Закона, поступившие в избирательную комиссию муниципального образования в период, который начинается в день голосования и заканчивается в день составления избирательной комиссией муниципального образования протокола о результатах выборов, и принятые по указанным жалобам (заявлениям) решения избирательной комиссии муниципального образования.</w:t>
      </w:r>
    </w:p>
    <w:p>
      <w:pPr>
        <w:pStyle w:val="style22"/>
        <w:rPr/>
      </w:pPr>
      <w:bookmarkStart w:id="964" w:name="Lbl6616"/>
      <w:bookmarkEnd w:id="964"/>
      <w:r>
        <w:rPr>
          <w:rStyle w:val="style18"/>
        </w:rPr>
        <w:t>16.</w:t>
      </w:r>
      <w:r>
        <w:rPr/>
        <w:t xml:space="preserve"> Заверенные копии протокола избирательной комиссии муниципального образования о результатах выборов депутатов представительного органа муниципального образования по единому избирательному округу и сводной таблицы представляются всем членам избирательной комиссии муниципального образования, иным лицам, указанным в </w:t>
      </w:r>
      <w:hyperlink w:anchor="Lbl213">
        <w:r>
          <w:rPr>
            <w:rStyle w:val="style17"/>
          </w:rPr>
          <w:t>части 3 статьи 21</w:t>
        </w:r>
      </w:hyperlink>
      <w:r>
        <w:rPr/>
        <w:t xml:space="preserve"> настоящего Закона и присутствовавшим при определении результатов выборов депутатов представительного органа муниципального образования, а также представителям средств массовой информации.</w:t>
      </w:r>
    </w:p>
    <w:p>
      <w:pPr>
        <w:pStyle w:val="style22"/>
        <w:rPr/>
      </w:pPr>
      <w:bookmarkStart w:id="965" w:name="Lbl6617"/>
      <w:bookmarkEnd w:id="965"/>
      <w:r>
        <w:rPr>
          <w:rStyle w:val="style18"/>
        </w:rPr>
        <w:t>17.</w:t>
      </w:r>
      <w:r>
        <w:rPr/>
        <w:t xml:space="preserve"> Если после подписания протокола о результатах выборов по единому избирательному округу и (или) сводной таблицы избирательная комиссия муниципального образования выявила в них неточность (в том числе описку, опечатку либо ошибку в сложении данных протоколов нижестоящих избирательных комиссий), избирательная комиссия муниципального образования обязана на своем заседании рассмотреть вопрос о внесении уточнений в протокол и (или) сводную таблицу. О принятом решении избирательная комиссия муниципального образования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pPr>
        <w:pStyle w:val="style22"/>
        <w:rPr/>
      </w:pPr>
      <w:bookmarkStart w:id="966" w:name="Lbl6618"/>
      <w:bookmarkEnd w:id="966"/>
      <w:r>
        <w:rPr>
          <w:rStyle w:val="style18"/>
        </w:rPr>
        <w:t>18.</w:t>
      </w:r>
      <w:r>
        <w:rPr/>
        <w:t xml:space="preserve"> При выявлении ошибок, несоответствий в протоколах об итогах голосования, возникновении сомнений в правильности составления протоколов и (или) сводных таблиц, поступивших из нижестоящих избирательных комиссий, избирательная комиссия муниципального образования вправе принять решение о проведении повторного подсчета голосов избирателей на соответствующем избирательном участке, соответствующем избирательном округе. Указанный повторный подсчет может проводиться не позднее чем за один день до истечения установленного </w:t>
      </w:r>
      <w:hyperlink w:anchor="Lbl661">
        <w:r>
          <w:rPr>
            <w:rStyle w:val="style17"/>
          </w:rPr>
          <w:t>частью 1</w:t>
        </w:r>
      </w:hyperlink>
      <w:r>
        <w:rPr/>
        <w:t xml:space="preserve"> настоящей статьи срока определения результатов выборов депутатов представительного органа муниципального образования по единому избирательному округу. Повторный подсчет голосов избирателей проводится избирательной комиссией, составившей и утвердившей протокол об итогах голосования, который подлежит проверке, в присутствии члена (членов) избирательной комиссии муниципального образования с правом решающего голоса либо самой избирательной комиссией муниципального образования. Избирательная комиссия, проводящая повторный подсчет голосов избирателей, извещает об этом членов соответствующей избирательной комиссии с правом совещательного голоса, наблюдателей, иных лиц, указанных в </w:t>
      </w:r>
      <w:hyperlink w:anchor="Lbl213">
        <w:r>
          <w:rPr>
            <w:rStyle w:val="style17"/>
          </w:rPr>
          <w:t>части 3 статьи 21</w:t>
        </w:r>
      </w:hyperlink>
      <w:r>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проводящая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Lbl213">
        <w:r>
          <w:rPr>
            <w:rStyle w:val="style17"/>
          </w:rPr>
          <w:t>части 3 статьи 21</w:t>
        </w:r>
      </w:hyperlink>
      <w:r>
        <w:rPr/>
        <w:t xml:space="preserve"> настоящего Закона. Если протокол составляется нижестоящей избирательной комиссией, он незамедлительно направляется в избирательную комиссию муниципального образования. Ранее представленный протокол об итогах голосования приобщается к протоколу, составленному по итогам повторного подсчета голосов избирателей.</w:t>
      </w:r>
    </w:p>
    <w:p>
      <w:pPr>
        <w:pStyle w:val="style22"/>
        <w:rPr/>
      </w:pPr>
      <w:r>
        <w:rPr/>
        <w:t>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pPr>
        <w:pStyle w:val="style47"/>
        <w:rPr/>
      </w:pPr>
      <w:bookmarkStart w:id="967" w:name="Lbl67"/>
      <w:bookmarkEnd w:id="967"/>
      <w:r>
        <w:rPr/>
        <w:t>Статья 67</w:t>
      </w:r>
    </w:p>
    <w:p>
      <w:pPr>
        <w:pStyle w:val="style46"/>
        <w:rPr/>
      </w:pPr>
      <w:r>
        <w:rPr>
          <w:rStyle w:val="style18"/>
        </w:rPr>
        <w:t>Статья 67</w:t>
      </w:r>
      <w:r>
        <w:rPr/>
        <w:t>. Установление общих результатов выборов</w:t>
      </w:r>
    </w:p>
    <w:p>
      <w:pPr>
        <w:pStyle w:val="style22"/>
        <w:rPr/>
      </w:pPr>
      <w:bookmarkStart w:id="968" w:name="Lbl671"/>
      <w:bookmarkEnd w:id="968"/>
      <w:r>
        <w:rPr>
          <w:rStyle w:val="style18"/>
        </w:rPr>
        <w:t>1.</w:t>
      </w:r>
      <w:r>
        <w:rPr/>
        <w:t xml:space="preserve"> При применении на выборах депутатов представительного органа муниципального образования мажоритарной избирательной системы избирательная комиссия муниципального образования на основании протоколов окружных избирательных комиссий о результатах выборов по одномандатным (многомандатным) избирательным округам не позднее чем через семь дней со дня голосования определяет общие результаты выборов депутатов представительного органа муниципального образования.</w:t>
      </w:r>
    </w:p>
    <w:p>
      <w:pPr>
        <w:pStyle w:val="style22"/>
        <w:rPr/>
      </w:pPr>
      <w:bookmarkStart w:id="969" w:name="Lbl672"/>
      <w:bookmarkEnd w:id="969"/>
      <w:r>
        <w:rPr>
          <w:rStyle w:val="style18"/>
        </w:rPr>
        <w:t>2.</w:t>
      </w:r>
      <w:r>
        <w:rPr/>
        <w:t xml:space="preserve"> При применении на выборах смешанной избирательной системы избирательная комиссия муниципального образования на основании протокола о результатах выборов по единому избирательному округу и протоколов окружных избирательных комиссий о результатах выборов по одномандатным (многомандатным) избирательным округам не позднее чем через десять дней после дня голосования устанавливает общие результаты выборов.</w:t>
      </w:r>
    </w:p>
    <w:p>
      <w:pPr>
        <w:pStyle w:val="style22"/>
        <w:rPr/>
      </w:pPr>
      <w:bookmarkStart w:id="970" w:name="Lbl673"/>
      <w:bookmarkEnd w:id="970"/>
      <w:r>
        <w:rPr>
          <w:rStyle w:val="style18"/>
        </w:rPr>
        <w:t>3.</w:t>
      </w:r>
      <w:r>
        <w:rPr/>
        <w:t xml:space="preserve"> При применении на выборах пропорциональной избирательной системы избирательная комиссия муниципального образования на основании протокола о результатах выборов по единому избирательному округу не позднее чем через две недели после дня голосования устанавливает общие результаты выборов.</w:t>
      </w:r>
    </w:p>
    <w:p>
      <w:pPr>
        <w:pStyle w:val="style22"/>
        <w:rPr/>
      </w:pPr>
      <w:bookmarkStart w:id="971" w:name="Lbl674"/>
      <w:bookmarkEnd w:id="971"/>
      <w:r>
        <w:rPr>
          <w:rStyle w:val="style18"/>
        </w:rPr>
        <w:t>4.</w:t>
      </w:r>
      <w:r>
        <w:rPr/>
        <w:t xml:space="preserve"> Решение избирательной комиссии муниципального образования об общих результатах выборов незамедлительно направляется в соответствующий представительный орган муниципального образования.</w:t>
      </w:r>
    </w:p>
    <w:p>
      <w:pPr>
        <w:pStyle w:val="style38"/>
        <w:rPr/>
      </w:pPr>
      <w:bookmarkStart w:id="972" w:name="Lbl68"/>
      <w:bookmarkEnd w:id="972"/>
      <w:r>
        <w:rPr/>
        <w:t>Статья 68 настоящего Закона распространяется на правоотношения, возникшие в связи с проведением выборов, назначенных после дня вступления в силу Закона Рязанской области от 14 мая 2013 г. № 24-ОЗ</w:t>
      </w:r>
    </w:p>
    <w:p>
      <w:pPr>
        <w:pStyle w:val="style47"/>
        <w:rPr/>
      </w:pPr>
      <w:r>
        <w:rPr/>
        <w:t>Статья 68</w:t>
      </w:r>
    </w:p>
    <w:p>
      <w:pPr>
        <w:pStyle w:val="style46"/>
        <w:rPr/>
      </w:pPr>
      <w:r>
        <w:rPr>
          <w:rStyle w:val="style18"/>
        </w:rPr>
        <w:t>Статья 68</w:t>
      </w:r>
      <w:r>
        <w:rPr/>
        <w:t>. Методика пропорционального распределения депутатских мандатов</w:t>
      </w:r>
    </w:p>
    <w:p>
      <w:pPr>
        <w:pStyle w:val="style41"/>
        <w:rPr/>
      </w:pPr>
      <w:bookmarkStart w:id="973" w:name="Lbl681"/>
      <w:bookmarkEnd w:id="973"/>
      <w:r>
        <w:rPr/>
        <w:t>Законом Рязанской области от 14 мая 2013 г. № 24-ОЗ часть 1 статьи 68 главы 9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1.</w:t>
      </w:r>
      <w:r>
        <w:rPr/>
        <w:t xml:space="preserve"> Избирательная комиссия муниципального образования подсчитывает сумму голосов избирателей, поданных по единому избирательному округу за муниципальные списки кандидатов, допущенные к участию в распределении депутатских мандатов в соответствии с правилами, предусмотренными </w:t>
      </w:r>
      <w:hyperlink w:anchor="Lbl668">
        <w:r>
          <w:rPr>
            <w:rStyle w:val="style17"/>
          </w:rPr>
          <w:t>частями 8 — 10 статьи 66</w:t>
        </w:r>
      </w:hyperlink>
      <w:r>
        <w:rPr/>
        <w:t xml:space="preserve"> настоящего Закона. Каждый муниципальный список кандидатов по единому избирательному округу, допущенный к распределению депутатских мандатов, получает по одному мандату.</w:t>
      </w:r>
    </w:p>
    <w:p>
      <w:pPr>
        <w:pStyle w:val="style41"/>
        <w:rPr/>
      </w:pPr>
      <w:bookmarkStart w:id="974" w:name="Lbl682"/>
      <w:bookmarkEnd w:id="974"/>
      <w:r>
        <w:rPr/>
        <w:t>Законом Рязанской области от 14 мая 2013 г. № 24-ОЗ часть 2 статьи 68 главы 9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2.</w:t>
      </w:r>
      <w:r>
        <w:rPr/>
        <w:t xml:space="preserve"> Затем число голосов избирателей, полученных каждым списком кандидатов по единому избирательному округу, допущенным к распределению депутатских мандатов, последовательно делится на числа из ряда возрастающих натуральных чисел (делителей), начиная с двух до числа депутатских мандатов, распределяемых по единому избирательному округу.</w:t>
      </w:r>
    </w:p>
    <w:p>
      <w:pPr>
        <w:pStyle w:val="style41"/>
        <w:rPr/>
      </w:pPr>
      <w:bookmarkStart w:id="975" w:name="Lbl683"/>
      <w:bookmarkEnd w:id="975"/>
      <w:r>
        <w:rPr/>
        <w:t>Законом Рязанской области от 14 мая 2013 г. № 24-ОЗ часть 3 статьи 68 главы 9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3.</w:t>
      </w:r>
      <w:r>
        <w:rPr/>
        <w:t xml:space="preserve"> Полученные по всем спискам кандидатов по единому избирательному округу частные, определенные с точностью до шестого знака после запятой, располагаются по убывающей. В случае равенства числовых значений нескольких частных первым становится частное списка кандидатов по единому избирательному округу, получившее большее число голосов избирателей, а в случае равенства голосов избирателей — частное списка кандидатов, зарегистрированного ранее.</w:t>
      </w:r>
    </w:p>
    <w:p>
      <w:pPr>
        <w:pStyle w:val="style41"/>
        <w:rPr/>
      </w:pPr>
      <w:bookmarkStart w:id="976" w:name="Lbl684"/>
      <w:bookmarkEnd w:id="976"/>
      <w:r>
        <w:rPr/>
        <w:t>Законом Рязанской области от 14 мая 2013 г. № 24-ОЗ часть 4 статьи 68 главы 9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4.</w:t>
      </w:r>
      <w:r>
        <w:rPr/>
        <w:t xml:space="preserve">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список кандидатов по единому избирательному округу, допущенный к распределению депутатских мандатов, есть число депутатских мандатов, получаемых соответствующим списком кандидатов по единому избирательному округу. В случае равенства избирательной квоте числовых значений нескольких частных распределение депутатских мандатов между списками кандидатов по единому избирательному округу производится с учетом порядка, установленного </w:t>
      </w:r>
      <w:hyperlink w:anchor="Lbl683">
        <w:r>
          <w:rPr>
            <w:rStyle w:val="style17"/>
          </w:rPr>
          <w:t>частью 3</w:t>
        </w:r>
      </w:hyperlink>
      <w:r>
        <w:rPr/>
        <w:t xml:space="preserve"> настоящей статьи.</w:t>
      </w:r>
    </w:p>
    <w:p>
      <w:pPr>
        <w:pStyle w:val="style41"/>
        <w:rPr/>
      </w:pPr>
      <w:bookmarkStart w:id="977" w:name="Lbl685"/>
      <w:bookmarkEnd w:id="977"/>
      <w:r>
        <w:rPr/>
        <w:t>Законом Рязанской области от 14 мая 2013 г. № 24-ОЗ часть 5 статьи 68 главы 9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5.</w:t>
      </w:r>
      <w:r>
        <w:rPr/>
        <w:t xml:space="preserve"> После распределения депутатских мандатов между муниципальными списками кандидатов по единому избирательному округу, допущенными к распределению депутатских мандатов, проводится их распределение внутри каждого муниципального списка кандидатов.</w:t>
      </w:r>
    </w:p>
    <w:p>
      <w:pPr>
        <w:pStyle w:val="style41"/>
        <w:rPr/>
      </w:pPr>
      <w:bookmarkStart w:id="978" w:name="Lbl686"/>
      <w:bookmarkEnd w:id="978"/>
      <w:r>
        <w:rPr/>
        <w:t>Законом Рязанской области от 14 мая 2013 г. № 24-ОЗ часть 6 статьи 68 главы 9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6.</w:t>
      </w:r>
      <w:r>
        <w:rPr/>
        <w:t xml:space="preserve"> Если после передачи депутатских мандатов зарегистрированным кандидатам, включенным в общемуниципальную часть списка кандидатов, остаются депутатские мандаты, причитающиеся данному муниципальному списку кандидатов, указанные мандаты распределяются внутри списка между внутримуниципальными группами кандидатов в следующем порядке. Сумма голосов избирателей, поданных за муниципальный список кандидатов на территориях, которым соответствуют внутримуниципальные группы кандидатов, на которые был разделен муниципальный список кандидатов (далее — голоса избирателей, поданные за внутримуниципальные группы кандидатов), делится на число оставшихся нераспределенными внутри муниципального списка кандидатов депутатских мандатов. Полученный результат есть избирательное частное данного муниципального списка кандидатов. Число голосов избирателей, поданных за каждую из внутримуниципальных групп кандидатов, делится на избирательное частное. Целая часть числа, полученного в результате такого деления, есть число депутатских мандатов, которое получают соответствующие внутримуниципальные группы кандидатов.</w:t>
      </w:r>
    </w:p>
    <w:p>
      <w:pPr>
        <w:pStyle w:val="style22"/>
        <w:rPr/>
      </w:pPr>
      <w:bookmarkStart w:id="979" w:name="Lbl6862"/>
      <w:bookmarkEnd w:id="979"/>
      <w:r>
        <w:rPr/>
        <w:t>Если после указанных действий остаются нераспределенными депутатские мандаты, причитающиеся данному муниципальному списку кандидатов, они передаются по одному тем внутримуниципальным группам кандидатов, у которых оказывается наибольшей дробная часть числа, полученного в результате деления числа голосов избирателей, поданных за каждую из внутримуниципальных групп кандидатов, на избирательное частное данного муниципального списка кандидатов. При равенстве дробных частей преимущество отдается той внутримуниципальной группе кандидатов, за которую было подано большее число голосов избирателей.</w:t>
      </w:r>
    </w:p>
    <w:p>
      <w:pPr>
        <w:pStyle w:val="style41"/>
        <w:rPr/>
      </w:pPr>
      <w:bookmarkStart w:id="980" w:name="Lbl687"/>
      <w:bookmarkEnd w:id="980"/>
      <w:r>
        <w:rPr/>
        <w:t>Законом Рязанской области от 14 мая 2013 г. № 24-ОЗ часть 7 статьи 68 главы 9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7.</w:t>
      </w:r>
      <w:r>
        <w:rPr/>
        <w:t xml:space="preserve"> Если в процессе распределения депутатских мандатов внутри муниципального списка кандидатов в одной внутримуниципальной группе кандидатов или нескольких внутримуниципальных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внутримуниципальными группами того же муниципального списка кандидатов, в котором имеются зарегистрированные кандидаты, не получившие депутатских мандатов. При этом сохраняется очередность передачи депутатских мандатов, установленная </w:t>
      </w:r>
      <w:hyperlink w:anchor="Lbl6862">
        <w:r>
          <w:rPr>
            <w:rStyle w:val="style17"/>
          </w:rPr>
          <w:t>абзацем вторым части 6</w:t>
        </w:r>
      </w:hyperlink>
      <w:r>
        <w:rPr/>
        <w:t xml:space="preserve"> настоящей статьи.</w:t>
      </w:r>
    </w:p>
    <w:p>
      <w:pPr>
        <w:pStyle w:val="style22"/>
        <w:rPr/>
      </w:pPr>
      <w:r>
        <w:rPr/>
        <w:t>Если после такого распределения число дополнительно распределяемых депутатских мандатов окажется больше числа внутримуниципальных групп кандидатов, которые могут их получить, процедура дополнительного распределения повторяется необходимое число раз.</w:t>
      </w:r>
    </w:p>
    <w:p>
      <w:pPr>
        <w:pStyle w:val="style22"/>
        <w:rPr/>
      </w:pPr>
      <w:bookmarkStart w:id="981" w:name="Lbl688"/>
      <w:bookmarkEnd w:id="981"/>
      <w:r>
        <w:rPr>
          <w:rStyle w:val="style18"/>
        </w:rPr>
        <w:t>8.</w:t>
      </w:r>
      <w:r>
        <w:rPr/>
        <w:t xml:space="preserve"> Утратила силу.</w:t>
      </w:r>
    </w:p>
    <w:p>
      <w:pPr>
        <w:pStyle w:val="style41"/>
        <w:rPr/>
      </w:pPr>
      <w:r>
        <w:rPr/>
        <w:t>См. текст части 8 статьи 68</w:t>
      </w:r>
    </w:p>
    <w:p>
      <w:pPr>
        <w:pStyle w:val="style41"/>
        <w:rPr/>
      </w:pPr>
      <w:bookmarkStart w:id="982" w:name="Lbl689"/>
      <w:bookmarkEnd w:id="982"/>
      <w:r>
        <w:rPr/>
        <w:t>Законом Рязанской области от 14 мая 2013 г. № 24-ОЗ часть 9 статьи 68 главы 9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9.</w:t>
      </w:r>
      <w:r>
        <w:rPr/>
        <w:t xml:space="preserve"> Если после распределения депутатских мандатов внутри муниципального списка кандидатов зарегистрированный кандидат отказался принять депутатский мандат или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свободен в силу иных оснований, избирательная комиссия муниципального образования не позднее трех дней со дня наступления одного из указанных оснований предлагает избирательному объединению, в составе списка которого этот депутат был избран, представить избирательной комиссии муниципального образования кандидатуру другого зарегистрированного кандидата для замещения вакантного депутатского мандата, включенного в ту же внутримуниципальную группу кандидатов (общемуниципальную часть муниципального списка кандидатов), что и зарегистрированный кандидат, депутатский мандат которого оказался вакантным.</w:t>
      </w:r>
    </w:p>
    <w:p>
      <w:pPr>
        <w:pStyle w:val="style22"/>
        <w:rPr/>
      </w:pPr>
      <w:r>
        <w:rPr/>
        <w:t>Если в соответствующей внутримуниципальной группе кандидатов (в общемуниципальной части муниципального списка кандидатов) не осталось зарегистрированных кандидатов и (или) остались только зарегистрированные кандидаты, письменно сообщившие избирательному объединению о своем отказе от замещения этого вакантного депутатского мандата, избирательное объединение вправе предложить кандидатуру зарегистрированного кандидата из другой внутримуниципальной группы кандидатов (общемуниципальной группы списка кандидатов).</w:t>
      </w:r>
    </w:p>
    <w:p>
      <w:pPr>
        <w:pStyle w:val="style22"/>
        <w:rPr/>
      </w:pPr>
      <w:r>
        <w:rPr/>
        <w:t>Предложение кандидатуры для замещения вакантного депутатского мандата осуществляется избирательным объединением в порядке, предусмотренном уставом соответствующей политической партии, в четырнадцатидневный срок со дня поступления предложения избирательной комиссии муниципального образования о представлении кандидатуры другого зарегистрированного кандидата для замещения вакантного депутатского мандата. В этом случае избирательная комиссия муниципального образования передает вакантный депутатский мандат зарегистрированному кандидату, предложенному избирательным объединением.</w:t>
      </w:r>
    </w:p>
    <w:p>
      <w:pPr>
        <w:pStyle w:val="style22"/>
        <w:rPr/>
      </w:pPr>
      <w:r>
        <w:rPr/>
        <w:t xml:space="preserve">Если в течение четырнадцати дней со дня поступления предложения избирательной комиссии муниципального образования о представлении кандидатуры другого зарегистрированного кандидата для замещения вакантного депутатского мандата избирательное объединение не воспользуется своим правом, избирательная комиссия муниципального образования передает депутатский мандат другому зарегистрированному кандидату из того же муниципального списка кандидатов в порядке, предусмотренном </w:t>
      </w:r>
      <w:hyperlink w:anchor="Lbl687">
        <w:r>
          <w:rPr>
            <w:rStyle w:val="style17"/>
          </w:rPr>
          <w:t>частью 7</w:t>
        </w:r>
      </w:hyperlink>
      <w:r>
        <w:rPr/>
        <w:t xml:space="preserve"> настоящей статьи. При этом такой депутатский мандат не может быть передан зарегистрированному кандидату, который ранее получил депутатский мандат и полномочия которого также были прекращены досрочно, если его вакантный мандат не замещен.</w:t>
      </w:r>
    </w:p>
    <w:p>
      <w:pPr>
        <w:pStyle w:val="style22"/>
        <w:rPr/>
      </w:pPr>
      <w:r>
        <w:rPr/>
        <w:t>Зарегистрированный кандидат, включенный в список кандидатов по единому избирательному округу, допущенный к распределению депутатских мандатов, вправе участвовать в замещении (получении) депутатских мандатов не более двух раз.</w:t>
      </w:r>
    </w:p>
    <w:p>
      <w:pPr>
        <w:pStyle w:val="style22"/>
        <w:rPr/>
      </w:pPr>
      <w:bookmarkStart w:id="983" w:name="Lbl6810"/>
      <w:bookmarkEnd w:id="983"/>
      <w:r>
        <w:rPr>
          <w:rStyle w:val="style18"/>
        </w:rPr>
        <w:t>10.</w:t>
      </w:r>
      <w:r>
        <w:rPr/>
        <w:t xml:space="preserve"> Если в процессе распределения депутатских мандатов внутри муниципального списка кандидатов не окажется зарегистрированных кандидатов, не получивших депутатские мандаты,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pPr>
        <w:pStyle w:val="style47"/>
        <w:rPr/>
      </w:pPr>
      <w:bookmarkStart w:id="984" w:name="Lbl69"/>
      <w:bookmarkEnd w:id="984"/>
      <w:r>
        <w:rPr/>
        <w:t>Статья 69</w:t>
      </w:r>
    </w:p>
    <w:p>
      <w:pPr>
        <w:pStyle w:val="style46"/>
        <w:rPr/>
      </w:pPr>
      <w:r>
        <w:rPr>
          <w:rStyle w:val="style18"/>
        </w:rPr>
        <w:t>Статья 69.</w:t>
      </w:r>
      <w:r>
        <w:rPr/>
        <w:t xml:space="preserve"> Регистрация избранных депутатов представительного органа муниципального образования</w:t>
      </w:r>
    </w:p>
    <w:p>
      <w:pPr>
        <w:pStyle w:val="style22"/>
        <w:rPr/>
      </w:pPr>
      <w:bookmarkStart w:id="985" w:name="Lbl691"/>
      <w:bookmarkEnd w:id="985"/>
      <w:r>
        <w:rPr>
          <w:rStyle w:val="style18"/>
        </w:rPr>
        <w:t>1.</w:t>
      </w:r>
      <w:r>
        <w:rPr/>
        <w:t xml:space="preserve"> Соответствующая избирательная комиссия после определения результатов выборов извещает об этом зарегистрированного кандидата, избранного депутатом представительного органа муниципального образования, после чего он обязан в пятидневный срок представить в эту избирательную комиссию копию приказа (иного документа) об освобождении его от обязанностей, несовместимых со статусом депутата, либо копии документов, удостоверяющих, что им подано заявление об освобождении от таких обязанностей.</w:t>
      </w:r>
    </w:p>
    <w:p>
      <w:pPr>
        <w:pStyle w:val="style41"/>
        <w:rPr/>
      </w:pPr>
      <w:bookmarkStart w:id="986" w:name="Lbl692"/>
      <w:bookmarkEnd w:id="986"/>
      <w:r>
        <w:rPr/>
        <w:t>Законом Рязанской области от 16 июля 2012 г. № 45-ОЗ часть 2 статьи 69 главы 9 настоящего Закона изложена в новой редакции, вступающей в силу на следующий день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2.</w:t>
      </w:r>
      <w:r>
        <w:rPr/>
        <w:t xml:space="preserve"> Если зарегистрированный кандидат, избранный в результате распределения депутатских мандатов по списку кандидатов, не выполнит требование, предусмотренное </w:t>
      </w:r>
      <w:hyperlink w:anchor="Lbl691">
        <w:r>
          <w:rPr>
            <w:rStyle w:val="style17"/>
          </w:rPr>
          <w:t>частью 1</w:t>
        </w:r>
      </w:hyperlink>
      <w:r>
        <w:rPr/>
        <w:t xml:space="preserve"> настоящей статьи, избирательная комиссия муниципального образования отменяет свое решение о признании такого кандидата избранным, а его депутатский мандат передается избирательной комиссией муниципального образования зарегистрированному кандидату из того же списка кандидатов в порядке, предусмотренном </w:t>
      </w:r>
      <w:hyperlink w:anchor="Lbl68">
        <w:r>
          <w:rPr>
            <w:rStyle w:val="style17"/>
          </w:rPr>
          <w:t>статьей 68</w:t>
        </w:r>
      </w:hyperlink>
      <w:r>
        <w:rPr/>
        <w:t xml:space="preserve"> настоящего Закона.</w:t>
      </w:r>
    </w:p>
    <w:p>
      <w:pPr>
        <w:pStyle w:val="style41"/>
        <w:rPr/>
      </w:pPr>
      <w:bookmarkStart w:id="987" w:name="Lbl6921"/>
      <w:bookmarkEnd w:id="987"/>
      <w:r>
        <w:rPr/>
        <w:t>Законом Рязанской области от 16 июля 2012 г. № 45-ОЗ статья 69 главы 9 настоящего Закона дополнена частью 2.1, вступающей в силу на следующий день после дня официального опубликования названного Закона</w:t>
      </w:r>
    </w:p>
    <w:p>
      <w:pPr>
        <w:pStyle w:val="style22"/>
        <w:rPr/>
      </w:pPr>
      <w:r>
        <w:rPr>
          <w:rStyle w:val="style18"/>
        </w:rPr>
        <w:t>2.1.</w:t>
      </w:r>
      <w:r>
        <w:rPr/>
        <w:t xml:space="preserve"> Зарегистрированный кандидат, избранный депутатом представительного органа муниципального образования, в пятидневный срок со дня получения извещения, указанного в </w:t>
      </w:r>
      <w:hyperlink w:anchor="Lbl691">
        <w:r>
          <w:rPr>
            <w:rStyle w:val="style17"/>
          </w:rPr>
          <w:t>части 1</w:t>
        </w:r>
      </w:hyperlink>
      <w:r>
        <w:rPr/>
        <w:t xml:space="preserve"> настоящей статьи, вправе отказаться от получения депутатского мандата, представив в избирательную комиссию муниципального образования соответствующее письменное заявление. В этом случае его депутатский мандат считается вакантным и передается избирательной комиссией муниципального образования другому зарегистрированному кандидату из того же списка кандидатов в порядке, предусмотренном </w:t>
      </w:r>
      <w:hyperlink w:anchor="Lbl68">
        <w:r>
          <w:rPr>
            <w:rStyle w:val="style17"/>
          </w:rPr>
          <w:t>статьей 68</w:t>
        </w:r>
      </w:hyperlink>
      <w:r>
        <w:rPr/>
        <w:t xml:space="preserve"> настоящего Закона. При этом такой мандат не может быть передан зарегистрированному кандидату, избранному депутатом представительного органа местного самоуправления, который также не выполнил требование, предусмотренное </w:t>
      </w:r>
      <w:hyperlink w:anchor="Lbl691">
        <w:r>
          <w:rPr>
            <w:rStyle w:val="style17"/>
          </w:rPr>
          <w:t>частью 1</w:t>
        </w:r>
      </w:hyperlink>
      <w:r>
        <w:rPr/>
        <w:t xml:space="preserve"> настоящей статьи, либо отказался от мандата в соответствии с настоящей частью, если его депутатский мандат является вакантным.</w:t>
      </w:r>
    </w:p>
    <w:p>
      <w:pPr>
        <w:pStyle w:val="style41"/>
        <w:rPr/>
      </w:pPr>
      <w:bookmarkStart w:id="988" w:name="Lbl6922"/>
      <w:bookmarkEnd w:id="988"/>
      <w:r>
        <w:rPr/>
        <w:t>Законом Рязанской области от 16 июля 2012 г. № 45-ОЗ статья 69 главы 9 настоящего Закона дополнена частью 2.2, вступающей в силу на следующий день после дня официального опубликования названного Закона</w:t>
      </w:r>
    </w:p>
    <w:p>
      <w:pPr>
        <w:pStyle w:val="style22"/>
        <w:rPr/>
      </w:pPr>
      <w:r>
        <w:rPr>
          <w:rStyle w:val="style18"/>
        </w:rPr>
        <w:t>2.2.</w:t>
      </w:r>
      <w:r>
        <w:rPr/>
        <w:t xml:space="preserve"> Представление зарегистрированным кандидатом, избранным депутатом представительного органа муниципального образования, заявления, указанного в </w:t>
      </w:r>
      <w:hyperlink w:anchor="Lbl6921">
        <w:r>
          <w:rPr>
            <w:rStyle w:val="style17"/>
          </w:rPr>
          <w:t>части 2.1</w:t>
        </w:r>
      </w:hyperlink>
      <w:r>
        <w:rPr/>
        <w:t xml:space="preserve"> настоящей статьи, не влечет за собой исключение такого зарегистрированного кандидата из списка кандидатов, допущенного к распределению депутатских мандатов.</w:t>
      </w:r>
    </w:p>
    <w:p>
      <w:pPr>
        <w:pStyle w:val="style22"/>
        <w:rPr/>
      </w:pPr>
      <w:bookmarkStart w:id="989" w:name="Lbl693"/>
      <w:bookmarkEnd w:id="989"/>
      <w:r>
        <w:rPr>
          <w:rStyle w:val="style18"/>
        </w:rPr>
        <w:t>3.</w:t>
      </w:r>
      <w:r>
        <w:rPr/>
        <w:t xml:space="preserve"> Если зарегистрированный кандидат, избранный по одномандатному (многомандатному) избирательному округу, не выполнит требований, предусмотренных </w:t>
      </w:r>
      <w:hyperlink w:anchor="Lbl691">
        <w:r>
          <w:rPr>
            <w:rStyle w:val="style17"/>
          </w:rPr>
          <w:t>частью 1</w:t>
        </w:r>
      </w:hyperlink>
      <w:r>
        <w:rPr/>
        <w:t xml:space="preserve"> настоящей статьи, окружная избирательная комиссия отменяет свое решение о признании кандидата избранным. Если требование, предусмотренное </w:t>
      </w:r>
      <w:hyperlink w:anchor="Lbl691">
        <w:r>
          <w:rPr>
            <w:rStyle w:val="style17"/>
          </w:rPr>
          <w:t>частью 1</w:t>
        </w:r>
      </w:hyperlink>
      <w:r>
        <w:rPr/>
        <w:t xml:space="preserve"> настоящей статьи, не выполнено кандидатом без вынуждающих к тому обстоятельств, предусмотренных </w:t>
      </w:r>
      <w:hyperlink w:anchor="Lbl3523">
        <w:r>
          <w:rPr>
            <w:rStyle w:val="style17"/>
          </w:rPr>
          <w:t>частью 23 статьи 35</w:t>
        </w:r>
      </w:hyperlink>
      <w:r>
        <w:rPr/>
        <w:t xml:space="preserve"> настоящего Закона, в результате чего назначены повторные выборы, этот кандидат должен полностью возместить связанные с проведением повторных выборов расходы средств бюджета муниципального образования, произведенные соответствующими избирательными комиссиями.</w:t>
      </w:r>
    </w:p>
    <w:p>
      <w:pPr>
        <w:pStyle w:val="style22"/>
        <w:rPr/>
      </w:pPr>
      <w:bookmarkStart w:id="990" w:name="Lbl694"/>
      <w:bookmarkEnd w:id="990"/>
      <w:r>
        <w:rPr>
          <w:rStyle w:val="style18"/>
        </w:rPr>
        <w:t>4.</w:t>
      </w:r>
      <w:r>
        <w:rPr/>
        <w:t xml:space="preserve"> Соответствующая избирательная комиссия после официального опубликования результатов выборов и представления зарегистрированным кандидатом копии приказа (иного документа) об освобождении от обязанностей, не совместимых со статусом депутата, регистрирует избранного депутата представительного органа муниципального образования и выдает ему удостоверение об избрании.</w:t>
      </w:r>
    </w:p>
    <w:p>
      <w:pPr>
        <w:pStyle w:val="style47"/>
        <w:rPr/>
      </w:pPr>
      <w:bookmarkStart w:id="991" w:name="Lbl70"/>
      <w:bookmarkEnd w:id="991"/>
      <w:r>
        <w:rPr/>
        <w:t>Статья 70</w:t>
      </w:r>
    </w:p>
    <w:p>
      <w:pPr>
        <w:pStyle w:val="style46"/>
        <w:rPr/>
      </w:pPr>
      <w:r>
        <w:rPr>
          <w:rStyle w:val="style18"/>
        </w:rPr>
        <w:t>Статья 70</w:t>
      </w:r>
      <w:r>
        <w:rPr/>
        <w:t>. Повторные выборы. Дополнительные выборы</w:t>
      </w:r>
    </w:p>
    <w:p>
      <w:pPr>
        <w:pStyle w:val="style22"/>
        <w:rPr/>
      </w:pPr>
      <w:bookmarkStart w:id="992" w:name="Lbl7011"/>
      <w:bookmarkEnd w:id="992"/>
      <w:r>
        <w:rPr>
          <w:rStyle w:val="style18"/>
        </w:rPr>
        <w:t>1.</w:t>
      </w:r>
      <w:r>
        <w:rPr/>
        <w:t xml:space="preserve">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представительного органа муниципального образования, а также в случае, предусмотренном </w:t>
      </w:r>
      <w:hyperlink w:anchor="Lbl6511">
        <w:r>
          <w:rPr>
            <w:rStyle w:val="style17"/>
          </w:rPr>
          <w:t>частью 11 статьи 65</w:t>
        </w:r>
      </w:hyperlink>
      <w:r>
        <w:rPr/>
        <w:t xml:space="preserve"> настоящего Закона, избирательная комиссия муниципального образования назначает повторные выборы.</w:t>
      </w:r>
    </w:p>
    <w:p>
      <w:pPr>
        <w:pStyle w:val="style41"/>
        <w:rPr/>
      </w:pPr>
      <w:bookmarkStart w:id="993" w:name="Lbl7012"/>
      <w:bookmarkEnd w:id="993"/>
      <w:r>
        <w:rPr/>
        <w:t>Законом Рязанской области от 14 мая 2013 г. № 24-ОЗ в часть 2 статьи 70 главы 9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2.</w:t>
      </w:r>
      <w:r>
        <w:rPr/>
        <w:t xml:space="preserve"> Если основные выборы в представительный орган муниципального образования проводились во второе воскресенье сентября и по их результатам соответствующий орган не был сформирован в правомочном составе,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w:t>
      </w:r>
    </w:p>
    <w:p>
      <w:pPr>
        <w:pStyle w:val="style22"/>
        <w:rPr/>
      </w:pPr>
      <w:r>
        <w:rPr/>
        <w:t>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pPr>
        <w:pStyle w:val="style22"/>
        <w:rPr/>
      </w:pPr>
      <w:bookmarkStart w:id="994" w:name="Lbl7013"/>
      <w:bookmarkEnd w:id="994"/>
      <w:r>
        <w:rPr>
          <w:rStyle w:val="style18"/>
        </w:rPr>
        <w:t>3.</w:t>
      </w:r>
      <w:r>
        <w:rPr/>
        <w:t xml:space="preserve"> При назначении повторных выборов в случае, если полномочия окружных и участковых избирательных комиссий не истекли, избирательная комиссия муниципального образования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pPr>
        <w:pStyle w:val="style41"/>
        <w:rPr/>
      </w:pPr>
      <w:bookmarkStart w:id="995" w:name="Lbl7014"/>
      <w:bookmarkEnd w:id="995"/>
      <w:r>
        <w:rPr/>
        <w:t>Законом Рязанской области от 14 мая 2013 г. № 24-ОЗ часть 4 статьи 70 главы 9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4.</w:t>
      </w:r>
      <w:r>
        <w:rPr/>
        <w:t xml:space="preserve"> В случае досрочного прекращения полномочий депутата, избранного по одномандатному избирательному округу, в этом избирательном округе избирательная комиссия муниципального образования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Lbl705">
        <w:r>
          <w:rPr>
            <w:rStyle w:val="style17"/>
          </w:rPr>
          <w:t>частью 5 статьи 7</w:t>
        </w:r>
      </w:hyperlink>
      <w:r>
        <w:rPr/>
        <w:t xml:space="preserve"> настоящего Закона,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муниципального образования могут быть сокращены на одну треть.</w:t>
      </w:r>
    </w:p>
    <w:p>
      <w:pPr>
        <w:pStyle w:val="style22"/>
        <w:rPr/>
      </w:pPr>
      <w:bookmarkStart w:id="996" w:name="Lbl7015"/>
      <w:bookmarkEnd w:id="996"/>
      <w:r>
        <w:rPr>
          <w:rStyle w:val="style18"/>
        </w:rPr>
        <w:t>5.</w:t>
      </w:r>
      <w:r>
        <w:rPr/>
        <w:t xml:space="preserve"> В случае досрочного прекращения полномочий депутата представительного органа муниципального образования, избранного по многомандатному избирательному округу, дополнительные выборы назначаются и проводятся в порядке, предусмотренном </w:t>
      </w:r>
      <w:hyperlink w:anchor="Lbl7014">
        <w:r>
          <w:rPr>
            <w:rStyle w:val="style17"/>
          </w:rPr>
          <w:t>частью 4</w:t>
        </w:r>
      </w:hyperlink>
      <w:r>
        <w:rPr/>
        <w:t xml:space="preserve"> настоящей статьи, если в округе замещено менее двух третей депутатских мандатов.</w:t>
      </w:r>
    </w:p>
    <w:p>
      <w:pPr>
        <w:pStyle w:val="style22"/>
        <w:rPr/>
      </w:pPr>
      <w:bookmarkStart w:id="997" w:name="Lbl7016"/>
      <w:bookmarkEnd w:id="997"/>
      <w:r>
        <w:rPr>
          <w:rStyle w:val="style18"/>
        </w:rPr>
        <w:t>6.</w:t>
      </w:r>
      <w:r>
        <w:rPr/>
        <w:t xml:space="preserve">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pPr>
        <w:pStyle w:val="style22"/>
        <w:rPr/>
      </w:pPr>
      <w:bookmarkStart w:id="998" w:name="Lbl7017"/>
      <w:bookmarkEnd w:id="998"/>
      <w:r>
        <w:rPr>
          <w:rStyle w:val="style18"/>
        </w:rPr>
        <w:t>7.</w:t>
      </w:r>
      <w:r>
        <w:rPr/>
        <w:t xml:space="preserve">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соответствии с </w:t>
      </w:r>
      <w:hyperlink w:anchor="Lbl7016">
        <w:r>
          <w:rPr>
            <w:rStyle w:val="style17"/>
          </w:rPr>
          <w:t>частью 6</w:t>
        </w:r>
      </w:hyperlink>
      <w:r>
        <w:rPr/>
        <w:t xml:space="preserve"> настоящей статьи не предусмотрено, назначаются новые основные выборы, которые проводятся в сроки, установленные </w:t>
      </w:r>
      <w:hyperlink w:anchor="Lbl703">
        <w:r>
          <w:rPr>
            <w:rStyle w:val="style17"/>
          </w:rPr>
          <w:t>частью 3 статьи 7</w:t>
        </w:r>
      </w:hyperlink>
      <w:r>
        <w:rPr/>
        <w:t xml:space="preserve"> настоящего Закона.</w:t>
      </w:r>
    </w:p>
    <w:p>
      <w:pPr>
        <w:pStyle w:val="style38"/>
        <w:rPr/>
      </w:pPr>
      <w:bookmarkStart w:id="999" w:name="Lbl71"/>
      <w:bookmarkEnd w:id="999"/>
      <w:r>
        <w:rPr/>
        <w:t>Статья 71 настоящего Закона распространяется на правоотношения, возникшие в связи с проведением выборов, назначенных после дня вступления в силу Закона Рязанской области от 14 мая 2013 г. № 24-ОЗ</w:t>
      </w:r>
    </w:p>
    <w:p>
      <w:pPr>
        <w:pStyle w:val="style47"/>
        <w:rPr/>
      </w:pPr>
      <w:r>
        <w:rPr/>
        <w:t>Статья 71</w:t>
      </w:r>
    </w:p>
    <w:p>
      <w:pPr>
        <w:pStyle w:val="style46"/>
        <w:rPr/>
      </w:pPr>
      <w:r>
        <w:rPr>
          <w:rStyle w:val="style18"/>
        </w:rPr>
        <w:t>Статья 71.</w:t>
      </w:r>
      <w:r>
        <w:rPr/>
        <w:t xml:space="preserve"> Замещение вакантного депутатского мандата по единому избирательному округу, исключение зарегистрированного кандидата из списка кандидатов, допущенного к распределению депутатских мандатов</w:t>
      </w:r>
    </w:p>
    <w:p>
      <w:pPr>
        <w:pStyle w:val="style41"/>
        <w:rPr/>
      </w:pPr>
      <w:bookmarkStart w:id="1000" w:name="Lbl711"/>
      <w:bookmarkEnd w:id="1000"/>
      <w:r>
        <w:rPr/>
        <w:t>Законом Рязанской области от 14 мая 2013 г. № 24-ОЗ в часть 1 статьи 71 главы 9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1.</w:t>
      </w:r>
      <w:r>
        <w:rPr/>
        <w:t xml:space="preserve"> В случае досрочного прекращения полномочий депутата представительного органа муниципального образования, избранного в результате распределения депутатских мандатов между списками кандидатов, коллегиальный постоянно действующий руководящий орган политической партии (ее регионального отделения или иного структурного подразделения), в составе списка кандидатов которой этот депутат был избран, вправе предложить избирательной комиссии муниципального образования кандидатуру из числа зарегистрированных кандидатов, включенных в ту же внутримуниципальную группу кандидатов (в общемуниципальную группу муниципального списка кандидатов), что и депутат, чьи полномочия прекращены досрочно. Если в соответствующей внутримуниципальной группе кандидатов (в общемуниципальной группе муниципального списка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в указанный орган политической партии (ее регионального отделения либо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либо иного структурного подразделения) вправе предложить кандидатуру зарегистрированного кандидата из другой внутримуниципальной группы кандидатов (общемуниципальной группы списка кандидатов).</w:t>
      </w:r>
    </w:p>
    <w:p>
      <w:pPr>
        <w:pStyle w:val="style22"/>
        <w:rPr/>
      </w:pPr>
      <w:r>
        <w:rPr/>
        <w:t>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В этом случае избирательная комиссия муниципального образования передает вакантный депутатский мандат зарегистрированному кандидату, предложенному указанным органом политической партии (ее регионального отделения или иного структурного подразделения).</w:t>
      </w:r>
    </w:p>
    <w:p>
      <w:pPr>
        <w:pStyle w:val="style22"/>
        <w:rPr/>
      </w:pPr>
      <w:bookmarkStart w:id="1001" w:name="Lbl712"/>
      <w:bookmarkEnd w:id="1001"/>
      <w:r>
        <w:rPr>
          <w:rStyle w:val="style18"/>
        </w:rPr>
        <w:t>2.</w:t>
      </w:r>
      <w:r>
        <w:rPr/>
        <w:t xml:space="preserve"> Если в течение 14 дней со дня досрочного прекращения полномочий депутата представительного органа муниципального образования политическая партия не воспользуется своим правом, предусмотренным </w:t>
      </w:r>
      <w:hyperlink w:anchor="Lbl711">
        <w:r>
          <w:rPr>
            <w:rStyle w:val="style17"/>
          </w:rPr>
          <w:t>частью 1</w:t>
        </w:r>
      </w:hyperlink>
      <w:r>
        <w:rPr/>
        <w:t xml:space="preserve"> настоящей статьи, избирательная комиссия муниципального образования в порядке, предусмотренном </w:t>
      </w:r>
      <w:hyperlink w:anchor="Lbl689">
        <w:r>
          <w:rPr>
            <w:rStyle w:val="style17"/>
          </w:rPr>
          <w:t>частью 9 статьи 68</w:t>
        </w:r>
      </w:hyperlink>
      <w:r>
        <w:rPr/>
        <w:t xml:space="preserve"> настоящего Закона, передает вакантный депутатский мандат другому зарегистрированному кандидату из того же списка кандидатов, в составе которого был избран депутат представительного органа муниципального образования, чьи полномочия прекращены досрочно. При этом такой депутатский мандат не может быть передан зарегистрированному кандидату, который ранее получил депутатский мандат и полномочия которого также были прекращены досрочно, если его вакантный мандат не замещен.</w:t>
      </w:r>
    </w:p>
    <w:p>
      <w:pPr>
        <w:pStyle w:val="style22"/>
        <w:rPr/>
      </w:pPr>
      <w:bookmarkStart w:id="1002" w:name="Lbl713"/>
      <w:bookmarkEnd w:id="1002"/>
      <w:r>
        <w:rPr>
          <w:rStyle w:val="style18"/>
        </w:rPr>
        <w:t>3.</w:t>
      </w:r>
      <w:r>
        <w:rPr/>
        <w:t xml:space="preserve"> Зарегистрированный кандидат, включенный в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pPr>
        <w:pStyle w:val="style22"/>
        <w:rPr/>
      </w:pPr>
      <w:bookmarkStart w:id="1003" w:name="Lbl714"/>
      <w:bookmarkEnd w:id="1003"/>
      <w:r>
        <w:rPr>
          <w:rStyle w:val="style18"/>
        </w:rPr>
        <w:t>4.</w:t>
      </w:r>
      <w:r>
        <w:rPr/>
        <w:t xml:space="preserve">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pPr>
        <w:pStyle w:val="style22"/>
        <w:rPr/>
      </w:pPr>
      <w:bookmarkStart w:id="1004" w:name="Lbl7141"/>
      <w:bookmarkEnd w:id="1004"/>
      <w:r>
        <w:rPr>
          <w:rStyle w:val="style18"/>
        </w:rPr>
        <w:t>1)</w:t>
      </w:r>
      <w:r>
        <w:rPr/>
        <w:t xml:space="preserve"> подачи зарегистрированным кандидатом письменного заявления об исключении его из списка кандидатов, допущенного к распределению депутатских мандатов;</w:t>
      </w:r>
    </w:p>
    <w:p>
      <w:pPr>
        <w:pStyle w:val="style22"/>
        <w:rPr/>
      </w:pPr>
      <w:bookmarkStart w:id="1005" w:name="Lbl7142"/>
      <w:bookmarkEnd w:id="1005"/>
      <w:r>
        <w:rPr>
          <w:rStyle w:val="style18"/>
        </w:rPr>
        <w:t>2)</w:t>
      </w:r>
      <w:r>
        <w:rPr/>
        <w:t xml:space="preserve"> утраты зарегистрированным кандидатом пассивного избирательного права;</w:t>
      </w:r>
    </w:p>
    <w:p>
      <w:pPr>
        <w:pStyle w:val="style22"/>
        <w:rPr/>
      </w:pPr>
      <w:bookmarkStart w:id="1006" w:name="Lbl7143"/>
      <w:bookmarkEnd w:id="1006"/>
      <w:r>
        <w:rPr>
          <w:rStyle w:val="style18"/>
        </w:rPr>
        <w:t>3)</w:t>
      </w:r>
      <w:r>
        <w:rPr/>
        <w:t xml:space="preserve"> вступления зарегистрированного кандидата в члены иной политической партии, чем политическая партия (ее региональное или иное структурное подразделение), в список кандидатов которой (которого) он включен;</w:t>
      </w:r>
    </w:p>
    <w:p>
      <w:pPr>
        <w:pStyle w:val="style22"/>
        <w:rPr/>
      </w:pPr>
      <w:bookmarkStart w:id="1007" w:name="Lbl7144"/>
      <w:bookmarkEnd w:id="1007"/>
      <w:r>
        <w:rPr>
          <w:rStyle w:val="style18"/>
        </w:rPr>
        <w:t>4)</w:t>
      </w:r>
      <w:r>
        <w:rPr/>
        <w:t xml:space="preserve"> реализации зарегистрированным кандидатом права, предусмотренного </w:t>
      </w:r>
      <w:hyperlink w:anchor="Lbl713">
        <w:r>
          <w:rPr>
            <w:rStyle w:val="style17"/>
          </w:rPr>
          <w:t>частью 3</w:t>
        </w:r>
      </w:hyperlink>
      <w:r>
        <w:rPr/>
        <w:t xml:space="preserve"> настоящей статьи;</w:t>
      </w:r>
    </w:p>
    <w:p>
      <w:pPr>
        <w:pStyle w:val="style22"/>
        <w:rPr/>
      </w:pPr>
      <w:bookmarkStart w:id="1008" w:name="Lbl7145"/>
      <w:bookmarkEnd w:id="1008"/>
      <w:r>
        <w:rPr>
          <w:rStyle w:val="style18"/>
        </w:rPr>
        <w:t>5)</w:t>
      </w:r>
      <w:r>
        <w:rPr/>
        <w:t xml:space="preserve">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pPr>
        <w:pStyle w:val="style22"/>
        <w:rPr/>
      </w:pPr>
      <w:bookmarkStart w:id="1009" w:name="Lbl7146"/>
      <w:bookmarkEnd w:id="1009"/>
      <w:r>
        <w:rPr>
          <w:rStyle w:val="style18"/>
        </w:rPr>
        <w:t>6)</w:t>
      </w:r>
      <w:r>
        <w:rPr/>
        <w:t xml:space="preserve"> смерти зарегистрированного кандидата.</w:t>
      </w:r>
    </w:p>
    <w:p>
      <w:pPr>
        <w:pStyle w:val="style22"/>
        <w:rPr/>
      </w:pPr>
      <w:bookmarkStart w:id="1010" w:name="Lbl715"/>
      <w:bookmarkEnd w:id="1010"/>
      <w:r>
        <w:rPr>
          <w:rStyle w:val="style18"/>
        </w:rPr>
        <w:t>5.</w:t>
      </w:r>
      <w:r>
        <w:rPr/>
        <w:t xml:space="preserve"> Решение об исключении зарегистрированного кандидата из списка кандидатов, допущенного к распределению депутатских мандатов, по основаниям, предусмотренным </w:t>
      </w:r>
      <w:hyperlink w:anchor="Lbl714">
        <w:r>
          <w:rPr>
            <w:rStyle w:val="style17"/>
          </w:rPr>
          <w:t>частью 4</w:t>
        </w:r>
      </w:hyperlink>
      <w:r>
        <w:rPr/>
        <w:t xml:space="preserve"> настоящей статьи, оформляется решением избирательной комиссии муниципального образования.</w:t>
      </w:r>
    </w:p>
    <w:p>
      <w:pPr>
        <w:pStyle w:val="style22"/>
        <w:rPr/>
      </w:pPr>
      <w:bookmarkStart w:id="1011" w:name="Lbl716"/>
      <w:bookmarkEnd w:id="1011"/>
      <w:r>
        <w:rPr>
          <w:rStyle w:val="style18"/>
        </w:rPr>
        <w:t>6.</w:t>
      </w:r>
      <w:r>
        <w:rPr/>
        <w:t xml:space="preserve"> Если в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представительного органа муниципального образования.</w:t>
      </w:r>
    </w:p>
    <w:p>
      <w:pPr>
        <w:pStyle w:val="style47"/>
        <w:rPr/>
      </w:pPr>
      <w:bookmarkStart w:id="1012" w:name="Lbl72"/>
      <w:bookmarkEnd w:id="1012"/>
      <w:r>
        <w:rPr/>
        <w:t>Статья 72</w:t>
      </w:r>
    </w:p>
    <w:p>
      <w:pPr>
        <w:pStyle w:val="style46"/>
        <w:rPr/>
      </w:pPr>
      <w:r>
        <w:rPr>
          <w:rStyle w:val="style18"/>
        </w:rPr>
        <w:t>Статья 72.</w:t>
      </w:r>
      <w:r>
        <w:rPr/>
        <w:t xml:space="preserve"> Опубликование и обнародование итогов голосования и результатов выборов депутатов представительного органа муниципального образования</w:t>
      </w:r>
    </w:p>
    <w:p>
      <w:pPr>
        <w:pStyle w:val="style22"/>
        <w:rPr/>
      </w:pPr>
      <w:bookmarkStart w:id="1013" w:name="Lbl721"/>
      <w:bookmarkEnd w:id="1013"/>
      <w:r>
        <w:rPr>
          <w:rStyle w:val="style18"/>
        </w:rPr>
        <w:t>1.</w:t>
      </w:r>
      <w:r>
        <w:rPr/>
        <w:t xml:space="preserve"> Соответствующая избирательная комиссия представляет для ознакомления итоги голосования по каждому избирательному участку, по каждой территории, на которую распространяется деятельность данной избирательной комиссии, результаты выборов по соответствующему избирательному округу в объеме данных, содержащихся в ее протоколе о результатах выборов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w:t>
      </w:r>
    </w:p>
    <w:p>
      <w:pPr>
        <w:pStyle w:val="style22"/>
        <w:rPr/>
      </w:pPr>
      <w:bookmarkStart w:id="1014" w:name="Lbl722"/>
      <w:bookmarkEnd w:id="1014"/>
      <w:r>
        <w:rPr>
          <w:rStyle w:val="style18"/>
        </w:rPr>
        <w:t>2.</w:t>
      </w:r>
      <w:r>
        <w:rPr/>
        <w:t xml:space="preserve"> Окружная избирательная комиссия и избирательная комиссия муниципального образования направляют общие данные о результатах выборов по одномандатному (многомандатному) избирательному округу и единому избирательному округу соответственно в средства массовой информации в течение одних суток после определения результатов выборов.</w:t>
      </w:r>
    </w:p>
    <w:p>
      <w:pPr>
        <w:pStyle w:val="style22"/>
        <w:rPr/>
      </w:pPr>
      <w:bookmarkStart w:id="1015" w:name="Lbl723"/>
      <w:bookmarkEnd w:id="1015"/>
      <w:r>
        <w:rPr>
          <w:rStyle w:val="style18"/>
        </w:rPr>
        <w:t>3.</w:t>
      </w:r>
      <w:r>
        <w:rPr/>
        <w:t xml:space="preserve"> Официальное опубликование результатов выборов, а также данных о числе голосов, полученных каждым из кандидатов (списков кандидатов), голосов, поданных по позициям «За» и «Против», осуществляется соответственно окружной избирательной комиссией и избирательной комиссией муниципального образования не позднее чем через один месяц со дня голосования.</w:t>
      </w:r>
    </w:p>
    <w:p>
      <w:pPr>
        <w:pStyle w:val="style22"/>
        <w:rPr/>
      </w:pPr>
      <w:bookmarkStart w:id="1016" w:name="Lbl724"/>
      <w:bookmarkEnd w:id="1016"/>
      <w:r>
        <w:rPr>
          <w:rStyle w:val="style18"/>
        </w:rPr>
        <w:t>4.</w:t>
      </w:r>
      <w:r>
        <w:rPr/>
        <w:t xml:space="preserve"> В течение двух месяцев со дня голосования избирательная комиссия муниципального образования осуществляет официальное опубликование (обнародование) информации об итогах голосования, включающей в себя полные данные протоколов всех избирательных комиссий, об итогах голосования и о результатах выборов, а также предусмотренные </w:t>
      </w:r>
      <w:hyperlink w:anchor="Lbl6019">
        <w:r>
          <w:rPr>
            <w:rStyle w:val="style17"/>
          </w:rPr>
          <w:t>частью 9 статьи 60</w:t>
        </w:r>
      </w:hyperlink>
      <w:r>
        <w:rPr/>
        <w:t xml:space="preserve"> настоящего Закона данные обо всех избранных кандидатах.</w:t>
      </w:r>
    </w:p>
    <w:p>
      <w:pPr>
        <w:pStyle w:val="style47"/>
        <w:rPr/>
      </w:pPr>
      <w:bookmarkStart w:id="1017" w:name="Lbl73"/>
      <w:bookmarkEnd w:id="1017"/>
      <w:r>
        <w:rPr/>
        <w:t>Статья 73</w:t>
      </w:r>
    </w:p>
    <w:p>
      <w:pPr>
        <w:pStyle w:val="style46"/>
        <w:rPr/>
      </w:pPr>
      <w:r>
        <w:rPr>
          <w:rStyle w:val="style18"/>
        </w:rPr>
        <w:t>Статья 73</w:t>
      </w:r>
      <w:r>
        <w:rPr/>
        <w:t>. Хранение, передача в архивы и уничтожение избирательной документации</w:t>
      </w:r>
    </w:p>
    <w:p>
      <w:pPr>
        <w:pStyle w:val="style41"/>
        <w:rPr/>
      </w:pPr>
      <w:bookmarkStart w:id="1018" w:name="Lbl731"/>
      <w:bookmarkEnd w:id="1018"/>
      <w:r>
        <w:rPr/>
        <w:t>Законом Рязанской области от 14 мая 2013 г. № 24-ОЗ в часть 1 статьи 73 главы 9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1.</w:t>
      </w:r>
      <w:r>
        <w:rPr/>
        <w:t xml:space="preserve"> Избирательная документация (включая избирательные бюллетени) участковых, окружных избирательных комиссий хранится в охраняемых помещениях и передается в вышестоящие избирательные комиссии в сроки, установленные федеральными законами и настоящим Законом. Порядок хранения, передачи в архив и уничтожения избирательной документации утверждается избирательной комиссией муниципального образования по согласованию с государственным архивным органом.</w:t>
      </w:r>
    </w:p>
    <w:p>
      <w:pPr>
        <w:pStyle w:val="style22"/>
        <w:rPr/>
      </w:pPr>
      <w:bookmarkStart w:id="1019" w:name="Lbl732"/>
      <w:bookmarkEnd w:id="1019"/>
      <w:r>
        <w:rPr>
          <w:rStyle w:val="style18"/>
        </w:rPr>
        <w:t>2.</w:t>
      </w:r>
      <w:r>
        <w:rPr/>
        <w:t xml:space="preserve"> Избирательная документация избирательной комиссии муниципального образования вместе с переданной ей на хранение документацией нижестоящих избирательных комиссий хранится в избирательной комиссии муниципального образования в течение сроков, установленных федеральными законами и </w:t>
      </w:r>
      <w:hyperlink w:anchor="Lbl733">
        <w:r>
          <w:rPr>
            <w:rStyle w:val="style17"/>
          </w:rPr>
          <w:t>частями 3 — 5</w:t>
        </w:r>
      </w:hyperlink>
      <w:r>
        <w:rPr/>
        <w:t xml:space="preserve"> настоящей статьи.</w:t>
      </w:r>
    </w:p>
    <w:p>
      <w:pPr>
        <w:pStyle w:val="style22"/>
        <w:rPr/>
      </w:pPr>
      <w:bookmarkStart w:id="1020" w:name="Lbl733"/>
      <w:bookmarkEnd w:id="1020"/>
      <w:r>
        <w:rPr>
          <w:rStyle w:val="style18"/>
        </w:rPr>
        <w:t>3.</w:t>
      </w:r>
      <w:r>
        <w:rPr/>
        <w:t xml:space="preserve">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общих результатов выборов с последующим уничтожением в установленном порядке.</w:t>
      </w:r>
    </w:p>
    <w:p>
      <w:pPr>
        <w:pStyle w:val="style22"/>
        <w:rPr/>
      </w:pPr>
      <w:bookmarkStart w:id="1021" w:name="Lbl734"/>
      <w:bookmarkEnd w:id="1021"/>
      <w:r>
        <w:rPr>
          <w:rStyle w:val="style18"/>
        </w:rPr>
        <w:t>4.</w:t>
      </w:r>
      <w:r>
        <w:rPr/>
        <w:t xml:space="preserve"> Протоколы избирательных комиссий об итогах голосования, о результатах выборов и сводные таблицы хранятся не менее пяти лет со дня официального опубликования итогов голосования и результатов выборов, а затем в установленном порядке передаются в муниципальный архив.</w:t>
      </w:r>
    </w:p>
    <w:p>
      <w:pPr>
        <w:pStyle w:val="style22"/>
        <w:rPr/>
      </w:pPr>
      <w:bookmarkStart w:id="1022" w:name="Lbl735"/>
      <w:bookmarkEnd w:id="1022"/>
      <w:r>
        <w:rPr>
          <w:rStyle w:val="style18"/>
        </w:rPr>
        <w:t>5.</w:t>
      </w:r>
      <w:r>
        <w:rPr/>
        <w:t xml:space="preserve"> Финансовые отчеты избирательных комиссий о поступлении и расходовании средств местного бюджета, выделенных на подготовку и проведение выборов депутатов представительного органа муниципального образования, итоговые финансовые отчеты кандидатов хранятся не менее десяти лет со дня официального опубликования итогов голосования и результатов выборов с последующим уничтожением в установленном порядке.</w:t>
      </w:r>
    </w:p>
    <w:p>
      <w:pPr>
        <w:pStyle w:val="style22"/>
        <w:rPr/>
      </w:pPr>
      <w:r>
        <w:rPr/>
        <w:t>Иная избирательная документация хранится не менее пяти лет со дня официального опубликования результатов выборов с последующим уничтожением в установленном порядке.</w:t>
      </w:r>
    </w:p>
    <w:p>
      <w:pPr>
        <w:pStyle w:val="style22"/>
        <w:rPr/>
      </w:pPr>
      <w:bookmarkStart w:id="1023" w:name="Lbl736"/>
      <w:bookmarkEnd w:id="1023"/>
      <w:r>
        <w:rPr>
          <w:rStyle w:val="style18"/>
        </w:rPr>
        <w:t>6.</w:t>
      </w:r>
      <w:r>
        <w:rPr/>
        <w:t xml:space="preserve"> В соответствии с законодательством Российской Федерации в случае рассмотрения в суде жалобы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pPr>
        <w:pStyle w:val="style22"/>
        <w:rPr/>
      </w:pPr>
      <w:bookmarkStart w:id="1024" w:name="Lbl737"/>
      <w:bookmarkEnd w:id="1024"/>
      <w:r>
        <w:rPr>
          <w:rStyle w:val="style18"/>
        </w:rPr>
        <w:t>7.</w:t>
      </w:r>
      <w:r>
        <w:rPr/>
        <w:t xml:space="preserve"> Избирательные бюллетени, списки избирателей, протоколы избирательных комиссий об итогах голосования, о результатах выборов и приложенные к ним материалы, сводные таблицы, финансовые отчеты избирательных комиссий, итоговые финансовые отчеты зарегистрированных кандидатов, избирательных объединений, зарегистрировавших списки кандидатов, являются документами строгой отчетности.</w:t>
      </w:r>
    </w:p>
    <w:p>
      <w:pPr>
        <w:pStyle w:val="style22"/>
        <w:rPr/>
      </w:pPr>
      <w:r>
        <w:rPr/>
        <w:t>Ответственность за сохранность избирательной документации возлагается на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pPr>
        <w:pStyle w:val="style47"/>
        <w:rPr/>
      </w:pPr>
      <w:bookmarkStart w:id="1025" w:name="Lbl74"/>
      <w:bookmarkEnd w:id="1025"/>
      <w:r>
        <w:rPr/>
        <w:t>Статья 74</w:t>
      </w:r>
    </w:p>
    <w:p>
      <w:pPr>
        <w:pStyle w:val="style46"/>
        <w:rPr/>
      </w:pPr>
      <w:r>
        <w:rPr>
          <w:rStyle w:val="style18"/>
        </w:rPr>
        <w:t>Статья 74.</w:t>
      </w:r>
      <w:r>
        <w:rPr/>
        <w:t xml:space="preserve"> Использование ГАС «Выборы» при проведении выборов депутатов представительного органа муниципального образования</w:t>
      </w:r>
    </w:p>
    <w:p>
      <w:pPr>
        <w:pStyle w:val="style22"/>
        <w:rPr/>
      </w:pPr>
      <w:bookmarkStart w:id="1026" w:name="Lbl741"/>
      <w:bookmarkEnd w:id="1026"/>
      <w:r>
        <w:rPr>
          <w:rStyle w:val="style18"/>
        </w:rPr>
        <w:t>1.</w:t>
      </w:r>
      <w:r>
        <w:rPr/>
        <w:t xml:space="preserve"> При подготовке и проведении выборов представительного органа муниципального образования используется только ГАС «Выборы». Ввод в ГАС «Выборы» данных, содержащихся в протоколах избирательных комиссий об итогах голосования, о результатах выборов в муниципальном районе, городском округе, является обязательным. При подготовке и проведении выборов представительного органа поселения ГАС «Выборы» используется в порядке, установленном федеральными законами, соответствующими правовыми актами Центральной избирательной комиссии Российской Федерации.</w:t>
      </w:r>
    </w:p>
    <w:p>
      <w:pPr>
        <w:pStyle w:val="style22"/>
        <w:rPr/>
      </w:pPr>
      <w:bookmarkStart w:id="1027" w:name="Lbl742"/>
      <w:bookmarkEnd w:id="1027"/>
      <w:r>
        <w:rPr>
          <w:rStyle w:val="style18"/>
        </w:rPr>
        <w:t>2.</w:t>
      </w:r>
      <w:r>
        <w:rPr/>
        <w:t xml:space="preserve"> В случае возложения полномочий избирательной комиссии муниципального образования на соответствующую территориальную избирательную комиссию, действующую на территории муниципального образования, используется соответствующий комплекс средств автоматизации ГАС «Выборы». В случае, если полномочия избирательной комиссии муниципального образования не возложены на территориальную избирательную комиссию, порядок использования комплекса средств автоматизации ГАС «Выборы» соответствующей территориальной избирательной комиссии, порядок взаимодействия избирательной комиссии муниципального образования и территориальной избирательной комиссии при использовании комплекса средств автоматизации ГАС «Выборы» устанавливаются в соответствии с настоящим Законом.</w:t>
      </w:r>
    </w:p>
    <w:p>
      <w:pPr>
        <w:pStyle w:val="style22"/>
        <w:rPr/>
      </w:pPr>
      <w:bookmarkStart w:id="1028" w:name="Lbl743"/>
      <w:bookmarkEnd w:id="1028"/>
      <w:r>
        <w:rPr>
          <w:rStyle w:val="style18"/>
        </w:rPr>
        <w:t>3.</w:t>
      </w:r>
      <w:r>
        <w:rPr/>
        <w:t xml:space="preserve"> Соответствующая избирательная комиссия муниципального образования (если полномочия избирательной комиссии муниципального образования возложены на территориальную избирательную комиссию, — избирательная комиссия муниципального образования) образует группу контроля за использованием ГАС «Выборы», отдельных ее технических средств с включением в состав этой группы членов комиссии (комиссий) с правом решающего голоса и членов комиссии (комиссий) с правом совещательного голоса. Полномочия группы контроля устанавливаются Федеральным законом от 10 января 2003 года № 20-ФЗ «О Государственной автоматизированной системе Российской Федерации «Выборы».</w:t>
      </w:r>
    </w:p>
    <w:p>
      <w:pPr>
        <w:pStyle w:val="style22"/>
        <w:rPr/>
      </w:pPr>
      <w:bookmarkStart w:id="1029" w:name="Lbl744"/>
      <w:bookmarkEnd w:id="1029"/>
      <w:r>
        <w:rPr>
          <w:rStyle w:val="style18"/>
        </w:rPr>
        <w:t>4.</w:t>
      </w:r>
      <w:r>
        <w:rPr/>
        <w:t xml:space="preserve"> Члены избирательной комиссии с правом решающего голоса и члены избирательной комиссии с правом совещательного голоса, входящие в состав группы контроля, имеют равные права.</w:t>
      </w:r>
    </w:p>
    <w:p>
      <w:pPr>
        <w:pStyle w:val="style22"/>
        <w:rPr/>
      </w:pPr>
      <w:bookmarkStart w:id="1030" w:name="Lbl745"/>
      <w:bookmarkEnd w:id="1030"/>
      <w:r>
        <w:rPr>
          <w:rStyle w:val="style18"/>
        </w:rPr>
        <w:t>5.</w:t>
      </w:r>
      <w:r>
        <w:rPr/>
        <w:t xml:space="preserve"> Все члены избирательной комиссии, наблюдатели имеют право знакомиться с информацией, содержащейся в ГАС «Выборы», вводимой и выводимой из нее в связи с установлением итогов голосования, определением результатов выборов.</w:t>
      </w:r>
    </w:p>
    <w:p>
      <w:pPr>
        <w:pStyle w:val="style41"/>
        <w:rPr/>
      </w:pPr>
      <w:bookmarkStart w:id="1031" w:name="Lbl746"/>
      <w:bookmarkEnd w:id="1031"/>
      <w:r>
        <w:rPr/>
        <w:t>Законом Рязанской области от 9 декабря 2011 г. № 117-ОЗ в часть 6 статьи 74 главы 9 настоящего Закона внесены изменения</w:t>
      </w:r>
    </w:p>
    <w:p>
      <w:pPr>
        <w:pStyle w:val="style41"/>
        <w:rPr/>
      </w:pPr>
      <w:r>
        <w:rPr/>
        <w:t>См. текст части в предыдущей редакции</w:t>
      </w:r>
    </w:p>
    <w:p>
      <w:pPr>
        <w:pStyle w:val="style22"/>
        <w:rPr/>
      </w:pPr>
      <w:r>
        <w:rPr>
          <w:rStyle w:val="style18"/>
        </w:rPr>
        <w:t>6.</w:t>
      </w:r>
      <w:r>
        <w:rPr/>
        <w:t xml:space="preserve"> Введенные в ГАС «Выборы» данные об участии избирателей в выборах, о предварительных и об окончательных итогах голосования, о результатах выборов должны быть оперативно доступны (в режиме «Только чтение») абонентам информационно-телекоммуникационной сети «Интернет» в соответствии с порядком, установленным Центральной избирательной комиссией Российской Федерации.</w:t>
      </w:r>
    </w:p>
    <w:p>
      <w:pPr>
        <w:pStyle w:val="style47"/>
        <w:rPr/>
      </w:pPr>
      <w:bookmarkStart w:id="1032" w:name="Lbl110"/>
      <w:bookmarkEnd w:id="1032"/>
      <w:r>
        <w:rPr/>
        <w:t>Справочник наблюдателя — www.nablawiki.ru</w:t>
      </w:r>
    </w:p>
    <w:p>
      <w:pPr>
        <w:pStyle w:val="style2"/>
        <w:rPr/>
      </w:pPr>
      <w:r>
        <w:rPr/>
        <w:t>Глава 10. Обжалование нарушений избирательных прав граждан и ответственность за нарушения законодательства о выборах депутатов представительного органа муниципального образования</w:t>
      </w:r>
    </w:p>
    <w:p>
      <w:pPr>
        <w:pStyle w:val="style47"/>
        <w:rPr/>
      </w:pPr>
      <w:bookmarkStart w:id="1033" w:name="Lbl75"/>
      <w:bookmarkEnd w:id="1033"/>
      <w:r>
        <w:rPr/>
        <w:t>Статья 75</w:t>
      </w:r>
    </w:p>
    <w:p>
      <w:pPr>
        <w:pStyle w:val="style46"/>
        <w:rPr/>
      </w:pPr>
      <w:r>
        <w:rPr>
          <w:rStyle w:val="style18"/>
        </w:rPr>
        <w:t>Статья 75</w:t>
      </w:r>
      <w:r>
        <w:rPr/>
        <w:t>. Обжалование решений и действий (бездействия), нарушающих избирательные права граждан Российской Федерации</w:t>
      </w:r>
    </w:p>
    <w:p>
      <w:pPr>
        <w:pStyle w:val="style22"/>
        <w:rPr/>
      </w:pPr>
      <w:bookmarkStart w:id="1034" w:name="Lbl751"/>
      <w:bookmarkEnd w:id="1034"/>
      <w:r>
        <w:rPr>
          <w:rStyle w:val="style18"/>
        </w:rPr>
        <w:t>1.</w:t>
      </w:r>
      <w:r>
        <w:rPr/>
        <w:t xml:space="preserve">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могут быть обжалованы в суд. Обжалование осуществляется в порядке и в сроки, которые установлены федеральными законами.</w:t>
      </w:r>
    </w:p>
    <w:p>
      <w:pPr>
        <w:pStyle w:val="style22"/>
        <w:rPr/>
      </w:pPr>
      <w:bookmarkStart w:id="1035" w:name="Lbl752"/>
      <w:bookmarkEnd w:id="1035"/>
      <w:r>
        <w:rPr>
          <w:rStyle w:val="style18"/>
        </w:rPr>
        <w:t>2.</w:t>
      </w:r>
      <w:r>
        <w:rPr/>
        <w:t xml:space="preserve"> С жалобами на решения и действия (бездействие), нарушающие избирательные права граждан, могут обратиться избиратели, кандидаты, их доверенные лица, избирательные объединения и их доверенные лица, иные общественные объединения, наблюдатели, а также избирательные комиссии.</w:t>
      </w:r>
    </w:p>
    <w:p>
      <w:pPr>
        <w:pStyle w:val="style22"/>
        <w:rPr/>
      </w:pPr>
      <w:bookmarkStart w:id="1036" w:name="Lbl753"/>
      <w:bookmarkEnd w:id="1036"/>
      <w:r>
        <w:rPr>
          <w:rStyle w:val="style18"/>
        </w:rPr>
        <w:t>3.</w:t>
      </w:r>
      <w:r>
        <w:rPr/>
        <w:t xml:space="preserve"> Решения и действия (бездействие) избирательных комиссий и их должностных лиц, нарушающие избирательные права граждан, могут быть обжалованы в непосредственно вышестоящую избирательную комиссию, которая обязана, не направляя жалобу в нижестоящую избирательную комиссию, за исключением случая, когда обстоятельства, изложенные в жалобе, не были предметом рассмотрения нижестоящей избирательной комиссии, рассмотреть жалобу и вынести одно из следующих решений:</w:t>
      </w:r>
    </w:p>
    <w:p>
      <w:pPr>
        <w:pStyle w:val="style22"/>
        <w:rPr/>
      </w:pPr>
      <w:bookmarkStart w:id="1037" w:name="Lbl7531"/>
      <w:bookmarkEnd w:id="1037"/>
      <w:r>
        <w:rPr>
          <w:rStyle w:val="style18"/>
        </w:rPr>
        <w:t>а)</w:t>
      </w:r>
      <w:r>
        <w:rPr/>
        <w:t xml:space="preserve"> оставить жалобу без удовлетворения;</w:t>
      </w:r>
    </w:p>
    <w:p>
      <w:pPr>
        <w:pStyle w:val="style22"/>
        <w:rPr/>
      </w:pPr>
      <w:bookmarkStart w:id="1038" w:name="Lbl7532"/>
      <w:bookmarkEnd w:id="1038"/>
      <w:r>
        <w:rPr>
          <w:rStyle w:val="style18"/>
        </w:rPr>
        <w:t>б)</w:t>
      </w:r>
      <w:r>
        <w:rPr/>
        <w:t xml:space="preserve"> отменить обжалуемое решение полностью или в части (признать незаконным действие (бездействие) и принять решение по существу;</w:t>
      </w:r>
    </w:p>
    <w:p>
      <w:pPr>
        <w:pStyle w:val="style22"/>
        <w:rPr/>
      </w:pPr>
      <w:bookmarkStart w:id="1039" w:name="Lbl7533"/>
      <w:bookmarkEnd w:id="1039"/>
      <w:r>
        <w:rPr>
          <w:rStyle w:val="style18"/>
        </w:rPr>
        <w:t>в)</w:t>
      </w:r>
      <w:r>
        <w:rPr/>
        <w:t xml:space="preserve"> отменить обжалуемое решение полностью или в части (признать незаконным действие (бездействие), обязав нижестоящую избирательную комиссию повторно рассмотреть вопрос и принять решение по существу (совершить определенное действие).</w:t>
      </w:r>
    </w:p>
    <w:p>
      <w:pPr>
        <w:pStyle w:val="style22"/>
        <w:rPr/>
      </w:pPr>
      <w:bookmarkStart w:id="1040" w:name="Lbl754"/>
      <w:bookmarkEnd w:id="1040"/>
      <w:r>
        <w:rPr>
          <w:rStyle w:val="style18"/>
        </w:rPr>
        <w:t>4.</w:t>
      </w:r>
      <w:r>
        <w:rPr/>
        <w:t xml:space="preserve"> При рассмотрении избирательной комиссией жалоб (заявлений), а также в иных случаях, когда избирательной комиссией рассматривается вопрос о нарушении избирательных прав граждан, на заседание избирательной комиссии приглашаются заявители, а также лица, действия (бездействие) которых обжалуются или являются предметом рассмотрения.</w:t>
      </w:r>
    </w:p>
    <w:p>
      <w:pPr>
        <w:pStyle w:val="style22"/>
        <w:rPr/>
      </w:pPr>
      <w:bookmarkStart w:id="1041" w:name="Lbl755"/>
      <w:bookmarkEnd w:id="1041"/>
      <w:r>
        <w:rPr>
          <w:rStyle w:val="style18"/>
        </w:rPr>
        <w:t>5.</w:t>
      </w:r>
      <w:r>
        <w:rPr/>
        <w:t xml:space="preserve"> В случае принятия жалобы к рассмотрению судом и обращения того же заявителя с аналогичной жалобой в соответствующую избирательную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избирательная комиссия прекращает ее рассмотрение.</w:t>
      </w:r>
    </w:p>
    <w:p>
      <w:pPr>
        <w:pStyle w:val="style38"/>
        <w:rPr/>
      </w:pPr>
      <w:bookmarkStart w:id="1042" w:name="Lbl76"/>
      <w:bookmarkEnd w:id="1042"/>
      <w:r>
        <w:rPr/>
        <w:t>Статья 76 настоящего Закона распространяется на правоотношения, возникшие в связи с проведением выборов, назначенных после дня вступления в силу Закона Рязанской области от 14 мая 2013 г. № 24-ОЗ</w:t>
      </w:r>
    </w:p>
    <w:p>
      <w:pPr>
        <w:pStyle w:val="style47"/>
        <w:rPr/>
      </w:pPr>
      <w:r>
        <w:rPr/>
        <w:t>Статья 76</w:t>
      </w:r>
    </w:p>
    <w:p>
      <w:pPr>
        <w:pStyle w:val="style46"/>
        <w:rPr/>
      </w:pPr>
      <w:r>
        <w:rPr>
          <w:rStyle w:val="style18"/>
        </w:rPr>
        <w:t>Статья 76.</w:t>
      </w:r>
      <w:r>
        <w:rPr/>
        <w:t xml:space="preserve"> Основания аннулирования регистрации кандидата (списка кандидатов), отмены решения избирательной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w:t>
      </w:r>
    </w:p>
    <w:p>
      <w:pPr>
        <w:pStyle w:val="style22"/>
        <w:rPr/>
      </w:pPr>
      <w:bookmarkStart w:id="1043" w:name="Lbl761"/>
      <w:bookmarkEnd w:id="1043"/>
      <w:r>
        <w:rPr>
          <w:rStyle w:val="style18"/>
        </w:rPr>
        <w:t>1.</w:t>
      </w:r>
      <w:r>
        <w:rPr/>
        <w:t xml:space="preserve"> Решение окружной избирательной комиссии о регистрации кандидата аннулируется избирательной комиссией муниципального образования в случае нарушения требования </w:t>
      </w:r>
      <w:hyperlink w:anchor="Lbl353">
        <w:r>
          <w:rPr>
            <w:rStyle w:val="style17"/>
          </w:rPr>
          <w:t>части 3 статьи 35</w:t>
        </w:r>
      </w:hyperlink>
      <w:r>
        <w:rPr/>
        <w:t xml:space="preserve"> настоящего Закона. При этом аннулированию подлежат все решения о регистрации кандидата, за исключением первого.</w:t>
      </w:r>
    </w:p>
    <w:p>
      <w:pPr>
        <w:pStyle w:val="style22"/>
        <w:rPr/>
      </w:pPr>
      <w:bookmarkStart w:id="1044" w:name="Lbl762"/>
      <w:bookmarkEnd w:id="1044"/>
      <w:r>
        <w:rPr>
          <w:rStyle w:val="style18"/>
        </w:rPr>
        <w:t>2.</w:t>
      </w:r>
      <w:r>
        <w:rPr/>
        <w:t xml:space="preserve">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Lbl3513">
        <w:r>
          <w:rPr>
            <w:rStyle w:val="style17"/>
          </w:rPr>
          <w:t>частями 13</w:t>
        </w:r>
      </w:hyperlink>
      <w:r>
        <w:rPr/>
        <w:t xml:space="preserve">, </w:t>
      </w:r>
      <w:hyperlink w:anchor="Lbl3514">
        <w:r>
          <w:rPr>
            <w:rStyle w:val="style17"/>
          </w:rPr>
          <w:t>14</w:t>
        </w:r>
      </w:hyperlink>
      <w:r>
        <w:rPr/>
        <w:t xml:space="preserve"> или </w:t>
      </w:r>
      <w:hyperlink w:anchor="Lbl3515">
        <w:r>
          <w:rPr>
            <w:rStyle w:val="style17"/>
          </w:rPr>
          <w:t>15 статьи 35</w:t>
        </w:r>
      </w:hyperlink>
      <w:r>
        <w:rPr/>
        <w:t xml:space="preserve"> настоящего Закона, а также в связи со смертью кандидата.</w:t>
      </w:r>
    </w:p>
    <w:p>
      <w:pPr>
        <w:pStyle w:val="style22"/>
        <w:rPr/>
      </w:pPr>
      <w:bookmarkStart w:id="1045" w:name="Lbl763"/>
      <w:bookmarkEnd w:id="1045"/>
      <w:r>
        <w:rPr>
          <w:rStyle w:val="style18"/>
        </w:rPr>
        <w:t>3.</w:t>
      </w:r>
      <w:r>
        <w:rPr/>
        <w:t xml:space="preserve"> Регистрация кандидата аннулируется избирательной комиссией, зарегистрировавшей кандидата, в случае утраты им пассивного избирательного права.</w:t>
      </w:r>
    </w:p>
    <w:p>
      <w:pPr>
        <w:pStyle w:val="style22"/>
        <w:rPr/>
      </w:pPr>
      <w:bookmarkStart w:id="1046" w:name="Lbl764"/>
      <w:bookmarkEnd w:id="1046"/>
      <w:r>
        <w:rPr>
          <w:rStyle w:val="style18"/>
        </w:rPr>
        <w:t>4.</w:t>
      </w:r>
      <w:r>
        <w:rPr/>
        <w:t xml:space="preserve"> Регистрация кандидата,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pPr>
        <w:pStyle w:val="style41"/>
        <w:rPr/>
      </w:pPr>
      <w:bookmarkStart w:id="1047" w:name="Lbl765"/>
      <w:bookmarkEnd w:id="1047"/>
      <w:r>
        <w:rPr/>
        <w:t>Законом Рязанской области от 14 мая 2013 г. № 24-ОЗ в часть 5 статьи 76 главы 10 настоящего Закона внесены изменения, вступающие в силу через десять дней после дня официального опубликования названного Закона</w:t>
      </w:r>
    </w:p>
    <w:p>
      <w:pPr>
        <w:pStyle w:val="style41"/>
        <w:rPr/>
      </w:pPr>
      <w:r>
        <w:rPr/>
        <w:t>См. текст части в предыдущей редакции</w:t>
      </w:r>
    </w:p>
    <w:p>
      <w:pPr>
        <w:pStyle w:val="style22"/>
        <w:rPr/>
      </w:pPr>
      <w:r>
        <w:rPr>
          <w:rStyle w:val="style18"/>
        </w:rPr>
        <w:t>5.</w:t>
      </w:r>
      <w:r>
        <w:rPr/>
        <w:t xml:space="preserve">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 же по основаниям, предусмотренным </w:t>
      </w:r>
      <w:hyperlink w:anchor="Lbl359">
        <w:r>
          <w:rPr>
            <w:rStyle w:val="style17"/>
          </w:rPr>
          <w:t>частью 9 статьи 35</w:t>
        </w:r>
      </w:hyperlink>
      <w:r>
        <w:rPr/>
        <w:t xml:space="preserve"> настоящего Закона и </w:t>
      </w:r>
      <w:hyperlink w:anchor="Lbl769">
        <w:r>
          <w:rPr>
            <w:rStyle w:val="style17"/>
          </w:rPr>
          <w:t>частью 9</w:t>
        </w:r>
      </w:hyperlink>
      <w:r>
        <w:rPr/>
        <w:t xml:space="preserve"> настоящей статьи, превышает 50 процентов от числа кандидатов в заверенном списке кандидатов. Регистрация муниципального списка кандидатов аннулируется избирательной комиссией муниципального образования, если в результате выбытия кандидатов число внутримуниципальных групп кандидатов оказалось менее установленного </w:t>
      </w:r>
      <w:hyperlink w:anchor="Lbl2983">
        <w:r>
          <w:rPr>
            <w:rStyle w:val="style17"/>
          </w:rPr>
          <w:t>абзацем третьим части 8 статьи 29</w:t>
        </w:r>
      </w:hyperlink>
      <w:r>
        <w:rPr/>
        <w:t xml:space="preserve"> настоящего Закона.</w:t>
      </w:r>
    </w:p>
    <w:p>
      <w:pPr>
        <w:pStyle w:val="style22"/>
        <w:rPr/>
      </w:pPr>
      <w:bookmarkStart w:id="1048" w:name="Lbl766"/>
      <w:bookmarkEnd w:id="1048"/>
      <w:r>
        <w:rPr>
          <w:rStyle w:val="style18"/>
        </w:rPr>
        <w:t>6.</w:t>
      </w:r>
      <w:r>
        <w:rPr/>
        <w:t xml:space="preserve">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Lbl75">
        <w:r>
          <w:rPr>
            <w:rStyle w:val="style17"/>
          </w:rPr>
          <w:t>статьей 75</w:t>
        </w:r>
      </w:hyperlink>
      <w:r>
        <w:rPr/>
        <w:t xml:space="preserve"> настоящего Закона, по заявлению зарегистрировавшей кандидата (список кандидатов) избирательной комиссии, кандидата, избирательного объединения, в отношении которого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Lbl357">
        <w:r>
          <w:rPr>
            <w:rStyle w:val="style17"/>
          </w:rPr>
          <w:t>частями 7-9 статьи 35</w:t>
        </w:r>
      </w:hyperlink>
      <w:r>
        <w:rPr/>
        <w:t xml:space="preserve"> настоящего Закона, иных требований, предусмотренных Федеральным законом «Об основных гарантиях избирательных прав и права на участие в референдуме граждан Российской Федерации».</w:t>
      </w:r>
    </w:p>
    <w:p>
      <w:pPr>
        <w:pStyle w:val="style22"/>
        <w:rPr/>
      </w:pPr>
      <w:bookmarkStart w:id="1049" w:name="Lbl767"/>
      <w:bookmarkEnd w:id="1049"/>
      <w:r>
        <w:rPr>
          <w:rStyle w:val="style18"/>
        </w:rPr>
        <w:t>7.</w:t>
      </w:r>
      <w:r>
        <w:rPr/>
        <w:t xml:space="preserve">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pPr>
        <w:pStyle w:val="style41"/>
        <w:rPr/>
      </w:pPr>
      <w:bookmarkStart w:id="1050" w:name="Lbl7671"/>
      <w:bookmarkEnd w:id="1050"/>
      <w:r>
        <w:rPr/>
        <w:t>Законом Рязанской области от 9 декабря 2011 г. № 117-ОЗ в пункт 1 части 7 статьи 76 главы 10 настоящего Закона внесены изменения</w:t>
      </w:r>
    </w:p>
    <w:p>
      <w:pPr>
        <w:pStyle w:val="style41"/>
        <w:rPr/>
      </w:pPr>
      <w:r>
        <w:rPr/>
        <w:t>См. текст пункта в предыдущей редакции</w:t>
      </w:r>
    </w:p>
    <w:p>
      <w:pPr>
        <w:pStyle w:val="style22"/>
        <w:rPr/>
      </w:pPr>
      <w:r>
        <w:rPr>
          <w:rStyle w:val="style18"/>
        </w:rPr>
        <w:t>1)</w:t>
      </w:r>
      <w:r>
        <w:rPr/>
        <w:t xml:space="preserve"> вновь открывшихся обстоятельств, являющихся основанием для отказа в регистрации кандидата, предусмотренным </w:t>
      </w:r>
      <w:hyperlink w:anchor="Lbl3571">
        <w:r>
          <w:rPr>
            <w:rStyle w:val="style17"/>
          </w:rPr>
          <w:t>пунктами 1</w:t>
        </w:r>
      </w:hyperlink>
      <w:r>
        <w:rPr/>
        <w:t xml:space="preserve">, </w:t>
      </w:r>
      <w:hyperlink w:anchor="Lbl3572">
        <w:r>
          <w:rPr>
            <w:rStyle w:val="style17"/>
          </w:rPr>
          <w:t>2</w:t>
        </w:r>
      </w:hyperlink>
      <w:r>
        <w:rPr/>
        <w:t xml:space="preserve">, </w:t>
      </w:r>
      <w:hyperlink w:anchor="Lbl3578">
        <w:r>
          <w:rPr>
            <w:rStyle w:val="style17"/>
          </w:rPr>
          <w:t>8</w:t>
        </w:r>
      </w:hyperlink>
      <w:r>
        <w:rPr/>
        <w:t xml:space="preserve">, </w:t>
      </w:r>
      <w:hyperlink w:anchor="Lbl35710">
        <w:r>
          <w:rPr>
            <w:rStyle w:val="style17"/>
          </w:rPr>
          <w:t>10</w:t>
        </w:r>
      </w:hyperlink>
      <w:r>
        <w:rPr/>
        <w:t xml:space="preserve">, </w:t>
      </w:r>
      <w:hyperlink w:anchor="Lbl35711">
        <w:r>
          <w:rPr>
            <w:rStyle w:val="style17"/>
          </w:rPr>
          <w:t>11</w:t>
        </w:r>
      </w:hyperlink>
      <w:r>
        <w:rPr/>
        <w:t xml:space="preserve">, </w:t>
      </w:r>
      <w:hyperlink w:anchor="Lbl35712">
        <w:r>
          <w:rPr>
            <w:rStyle w:val="style17"/>
          </w:rPr>
          <w:t>12</w:t>
        </w:r>
      </w:hyperlink>
      <w:r>
        <w:rPr/>
        <w:t xml:space="preserve">, </w:t>
      </w:r>
      <w:hyperlink w:anchor="Lbl35713">
        <w:r>
          <w:rPr>
            <w:rStyle w:val="style17"/>
          </w:rPr>
          <w:t>13</w:t>
        </w:r>
      </w:hyperlink>
      <w:r>
        <w:rPr/>
        <w:t xml:space="preserve">, </w:t>
      </w:r>
      <w:hyperlink w:anchor="Lbl35715">
        <w:r>
          <w:rPr>
            <w:rStyle w:val="style17"/>
          </w:rPr>
          <w:t>15 части 7</w:t>
        </w:r>
      </w:hyperlink>
      <w:r>
        <w:rPr/>
        <w:t xml:space="preserve"> статьи 35 настоящего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pPr>
        <w:pStyle w:val="style22"/>
        <w:rPr/>
      </w:pPr>
      <w:bookmarkStart w:id="1051" w:name="Lbl7672"/>
      <w:bookmarkEnd w:id="1051"/>
      <w:r>
        <w:rPr>
          <w:rStyle w:val="style18"/>
        </w:rPr>
        <w:t>2)</w:t>
      </w:r>
      <w:r>
        <w:rPr/>
        <w:t xml:space="preserve">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пять процентов от предельного размера расходования средств избирательного фонда, установленного настоящим Законом, или превышения предельного размера расходования средств избирательного фонда, установленного настоящим Законом, более чем на пять процентов;</w:t>
      </w:r>
    </w:p>
    <w:p>
      <w:pPr>
        <w:pStyle w:val="style22"/>
        <w:rPr/>
      </w:pPr>
      <w:bookmarkStart w:id="1052" w:name="Lbl7673"/>
      <w:bookmarkEnd w:id="1052"/>
      <w:r>
        <w:rPr>
          <w:rStyle w:val="style18"/>
        </w:rPr>
        <w:t>3)</w:t>
      </w:r>
      <w:r>
        <w:rPr/>
        <w:t xml:space="preserve"> неоднократного использования кандидатом преимуществ своего должностного или служебного положения;</w:t>
      </w:r>
    </w:p>
    <w:p>
      <w:pPr>
        <w:pStyle w:val="style22"/>
        <w:rPr/>
      </w:pPr>
      <w:bookmarkStart w:id="1053" w:name="Lbl7674"/>
      <w:bookmarkEnd w:id="1053"/>
      <w:r>
        <w:rPr>
          <w:rStyle w:val="style18"/>
        </w:rPr>
        <w:t>4)</w:t>
      </w:r>
      <w:r>
        <w:rPr/>
        <w:t xml:space="preserve">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pPr>
        <w:pStyle w:val="style22"/>
        <w:rPr/>
      </w:pPr>
      <w:bookmarkStart w:id="1054" w:name="Lbl7675"/>
      <w:bookmarkEnd w:id="1054"/>
      <w:r>
        <w:rPr>
          <w:rStyle w:val="style18"/>
        </w:rPr>
        <w:t>5)</w:t>
      </w:r>
      <w:r>
        <w:rPr/>
        <w:t xml:space="preserve"> несоблюдения кандидатом ограничений, предусмотренных </w:t>
      </w:r>
      <w:hyperlink w:anchor="Lbl521">
        <w:r>
          <w:rPr>
            <w:rStyle w:val="style17"/>
          </w:rPr>
          <w:t>частью 1</w:t>
        </w:r>
      </w:hyperlink>
      <w:r>
        <w:rPr/>
        <w:t xml:space="preserve"> или </w:t>
      </w:r>
      <w:hyperlink w:anchor="Lbl522">
        <w:r>
          <w:rPr>
            <w:rStyle w:val="style17"/>
          </w:rPr>
          <w:t>2 статьи 52</w:t>
        </w:r>
      </w:hyperlink>
      <w:r>
        <w:rPr/>
        <w:t xml:space="preserve"> настоящего Закона;</w:t>
      </w:r>
    </w:p>
    <w:p>
      <w:pPr>
        <w:pStyle w:val="style22"/>
        <w:rPr/>
      </w:pPr>
      <w:bookmarkStart w:id="1055" w:name="Lbl7676"/>
      <w:bookmarkEnd w:id="1055"/>
      <w:r>
        <w:rPr>
          <w:rStyle w:val="style18"/>
        </w:rPr>
        <w:t>6)</w:t>
      </w:r>
      <w:r>
        <w:rPr/>
        <w:t xml:space="preserve"> неоднократного несоблюдения кандидатом ограничений, предусмотренных </w:t>
      </w:r>
      <w:hyperlink w:anchor="Lbl528">
        <w:r>
          <w:rPr>
            <w:rStyle w:val="style17"/>
          </w:rPr>
          <w:t>частью 8 статьи 52</w:t>
        </w:r>
      </w:hyperlink>
      <w:r>
        <w:rPr/>
        <w:t xml:space="preserve"> настоящего Закона;</w:t>
      </w:r>
    </w:p>
    <w:p>
      <w:pPr>
        <w:pStyle w:val="style41"/>
        <w:rPr/>
      </w:pPr>
      <w:bookmarkStart w:id="1056" w:name="Lbl7677"/>
      <w:bookmarkEnd w:id="1056"/>
      <w:r>
        <w:rPr/>
        <w:t>Законом Рязанской области от 9 декабря 2011 г. № 117-ОЗ в пункт 7 части 7 статьи 76 главы 10 настоящего Закона внесены изменения</w:t>
      </w:r>
    </w:p>
    <w:p>
      <w:pPr>
        <w:pStyle w:val="style41"/>
        <w:rPr/>
      </w:pPr>
      <w:r>
        <w:rPr/>
        <w:t>См. текст пункта в предыдущей редакции</w:t>
      </w:r>
    </w:p>
    <w:p>
      <w:pPr>
        <w:pStyle w:val="style22"/>
        <w:rPr/>
      </w:pPr>
      <w:r>
        <w:rPr>
          <w:rStyle w:val="style18"/>
        </w:rPr>
        <w:t>7)</w:t>
      </w:r>
      <w:r>
        <w:rPr/>
        <w:t xml:space="preserve"> установления в отношении кандидата факта, свидетельствующего о том, что в течение периода, указанного в </w:t>
      </w:r>
      <w:hyperlink w:anchor="Lbl5084">
        <w:r>
          <w:rPr>
            <w:rStyle w:val="style17"/>
          </w:rPr>
          <w:t>пункте 4 части 8 статьи 5</w:t>
        </w:r>
      </w:hyperlink>
      <w:r>
        <w:rPr/>
        <w:t xml:space="preserve"> настоящего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 доступ к которым не ограничен определенным кругом лиц, включая сеть «Интернет») призывал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pPr>
        <w:pStyle w:val="style22"/>
        <w:rPr/>
      </w:pPr>
      <w:bookmarkStart w:id="1057" w:name="Lbl7678"/>
      <w:bookmarkEnd w:id="1057"/>
      <w:r>
        <w:rPr>
          <w:rStyle w:val="style18"/>
        </w:rPr>
        <w:t>8)</w:t>
      </w:r>
      <w:r>
        <w:rPr/>
        <w:t xml:space="preserve"> установления факта сокрытия кандидатом сведений о своей судимости.</w:t>
      </w:r>
    </w:p>
    <w:p>
      <w:pPr>
        <w:pStyle w:val="style22"/>
        <w:rPr/>
      </w:pPr>
      <w:bookmarkStart w:id="1058" w:name="Lbl768"/>
      <w:bookmarkEnd w:id="1058"/>
      <w:r>
        <w:rPr>
          <w:rStyle w:val="style18"/>
        </w:rPr>
        <w:t>8.</w:t>
      </w:r>
      <w:r>
        <w:rPr/>
        <w:t xml:space="preserve"> Регистрация списка кандидатов может быть отменена судом по заявлению избирательной комиссии муниципального образования, избирательного объединения, список кандидатов которого зарегистрирован по тому же избирательному округу, в случаях:</w:t>
      </w:r>
    </w:p>
    <w:p>
      <w:pPr>
        <w:pStyle w:val="style41"/>
        <w:rPr/>
      </w:pPr>
      <w:bookmarkStart w:id="1059" w:name="Lbl7681"/>
      <w:bookmarkEnd w:id="1059"/>
      <w:r>
        <w:rPr/>
        <w:t>Законом Рязанской области от 9 декабря 2011 г. № 117-ОЗ в пункт 1 части 8 статьи 76 главы 10 настоящего Закона внесены изменения</w:t>
      </w:r>
    </w:p>
    <w:p>
      <w:pPr>
        <w:pStyle w:val="style41"/>
        <w:rPr/>
      </w:pPr>
      <w:r>
        <w:rPr/>
        <w:t>См. текст пункта в предыдущей редакции</w:t>
      </w:r>
    </w:p>
    <w:p>
      <w:pPr>
        <w:pStyle w:val="style22"/>
        <w:rPr/>
      </w:pPr>
      <w:r>
        <w:rPr>
          <w:rStyle w:val="style18"/>
        </w:rPr>
        <w:t>1)</w:t>
      </w:r>
      <w:r>
        <w:rPr/>
        <w:t xml:space="preserve"> вновь открывшихся обстоятельств, являющихся основанием для отказа в регистрации списка кандидатов, предусмотренным </w:t>
      </w:r>
      <w:hyperlink w:anchor="Lbl3581">
        <w:r>
          <w:rPr>
            <w:rStyle w:val="style17"/>
          </w:rPr>
          <w:t>пунктами 1</w:t>
        </w:r>
      </w:hyperlink>
      <w:r>
        <w:rPr/>
        <w:t xml:space="preserve">, </w:t>
      </w:r>
      <w:hyperlink w:anchor="Lbl3588">
        <w:r>
          <w:rPr>
            <w:rStyle w:val="style17"/>
          </w:rPr>
          <w:t>8</w:t>
        </w:r>
      </w:hyperlink>
      <w:r>
        <w:rPr/>
        <w:t xml:space="preserve">, </w:t>
      </w:r>
      <w:hyperlink w:anchor="Lbl3589">
        <w:r>
          <w:rPr>
            <w:rStyle w:val="style17"/>
          </w:rPr>
          <w:t>9</w:t>
        </w:r>
      </w:hyperlink>
      <w:r>
        <w:rPr/>
        <w:t xml:space="preserve">, </w:t>
      </w:r>
      <w:hyperlink w:anchor="Lbl35811">
        <w:r>
          <w:rPr>
            <w:rStyle w:val="style17"/>
          </w:rPr>
          <w:t>11</w:t>
        </w:r>
      </w:hyperlink>
      <w:r>
        <w:rPr/>
        <w:t xml:space="preserve">, </w:t>
      </w:r>
      <w:hyperlink w:anchor="Lbl35812">
        <w:r>
          <w:rPr>
            <w:rStyle w:val="style17"/>
          </w:rPr>
          <w:t>12</w:t>
        </w:r>
      </w:hyperlink>
      <w:r>
        <w:rPr/>
        <w:t xml:space="preserve">, </w:t>
      </w:r>
      <w:hyperlink w:anchor="Lbl35813">
        <w:r>
          <w:rPr>
            <w:rStyle w:val="style17"/>
          </w:rPr>
          <w:t>13 части 8 статьи 35</w:t>
        </w:r>
      </w:hyperlink>
      <w:r>
        <w:rPr/>
        <w:t xml:space="preserve"> настоящего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pPr>
        <w:pStyle w:val="style22"/>
        <w:rPr/>
      </w:pPr>
      <w:bookmarkStart w:id="1060" w:name="Lbl7682"/>
      <w:bookmarkEnd w:id="1060"/>
      <w:r>
        <w:rPr>
          <w:rStyle w:val="style18"/>
        </w:rPr>
        <w:t>2)</w:t>
      </w:r>
      <w:r>
        <w:rPr/>
        <w:t xml:space="preserve">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Законом, или превышения предельного размера расходования средств избирательного фонда, установленного настоящим Законом, более чем на пять процентов;</w:t>
      </w:r>
    </w:p>
    <w:p>
      <w:pPr>
        <w:pStyle w:val="style22"/>
        <w:rPr/>
      </w:pPr>
      <w:bookmarkStart w:id="1061" w:name="Lbl7683"/>
      <w:bookmarkEnd w:id="1061"/>
      <w:r>
        <w:rPr>
          <w:rStyle w:val="style18"/>
        </w:rPr>
        <w:t>3)</w:t>
      </w:r>
      <w:r>
        <w:rPr/>
        <w:t xml:space="preserve"> неоднократного использования руководителем избирательного объединения преимуществ своего должностного или служебного положения;</w:t>
      </w:r>
    </w:p>
    <w:p>
      <w:pPr>
        <w:pStyle w:val="style22"/>
        <w:rPr/>
      </w:pPr>
      <w:bookmarkStart w:id="1062" w:name="Lbl7684"/>
      <w:bookmarkEnd w:id="1062"/>
      <w:r>
        <w:rPr>
          <w:rStyle w:val="style18"/>
        </w:rPr>
        <w:t>4)</w:t>
      </w:r>
      <w:r>
        <w:rPr/>
        <w:t xml:space="preserve">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pPr>
        <w:pStyle w:val="style22"/>
        <w:rPr/>
      </w:pPr>
      <w:bookmarkStart w:id="1063" w:name="Lbl7685"/>
      <w:bookmarkEnd w:id="1063"/>
      <w:r>
        <w:rPr>
          <w:rStyle w:val="style18"/>
        </w:rPr>
        <w:t>5)</w:t>
      </w:r>
      <w:r>
        <w:rPr/>
        <w:t xml:space="preserve"> несоблюдения избирательным объединением ограничений, предусмотренных </w:t>
      </w:r>
      <w:hyperlink w:anchor="Lbl521">
        <w:r>
          <w:rPr>
            <w:rStyle w:val="style17"/>
          </w:rPr>
          <w:t>частью 1</w:t>
        </w:r>
      </w:hyperlink>
      <w:r>
        <w:rPr/>
        <w:t xml:space="preserve"> или </w:t>
      </w:r>
      <w:hyperlink w:anchor="Lbl522">
        <w:r>
          <w:rPr>
            <w:rStyle w:val="style17"/>
          </w:rPr>
          <w:t>2 статьи 52</w:t>
        </w:r>
      </w:hyperlink>
      <w:r>
        <w:rPr/>
        <w:t xml:space="preserve"> настоящего Закона, а также несоблюдения кандидатом, включенным в зарегистрированный список кандидатов, ограничений, предусмотренных </w:t>
      </w:r>
      <w:hyperlink w:anchor="Lbl521">
        <w:r>
          <w:rPr>
            <w:rStyle w:val="style17"/>
          </w:rPr>
          <w:t>частью 1</w:t>
        </w:r>
      </w:hyperlink>
      <w:r>
        <w:rPr/>
        <w:t xml:space="preserve"> или </w:t>
      </w:r>
      <w:hyperlink w:anchor="Lbl522">
        <w:r>
          <w:rPr>
            <w:rStyle w:val="style17"/>
          </w:rPr>
          <w:t>2 статьи 52</w:t>
        </w:r>
      </w:hyperlink>
      <w:r>
        <w:rPr/>
        <w:t xml:space="preserve"> настоящего Закона, если избирательное объединение, выдвинувшее этот список, не исключит такого кандидата из списка в соответствии с </w:t>
      </w:r>
      <w:hyperlink w:anchor="Lbl7610">
        <w:r>
          <w:rPr>
            <w:rStyle w:val="style17"/>
          </w:rPr>
          <w:t>частью 10</w:t>
        </w:r>
      </w:hyperlink>
      <w:r>
        <w:rPr/>
        <w:t xml:space="preserve"> настоящей статьи;</w:t>
      </w:r>
    </w:p>
    <w:p>
      <w:pPr>
        <w:pStyle w:val="style22"/>
        <w:rPr/>
      </w:pPr>
      <w:bookmarkStart w:id="1064" w:name="Lbl7686"/>
      <w:bookmarkEnd w:id="1064"/>
      <w:r>
        <w:rPr>
          <w:rStyle w:val="style18"/>
        </w:rPr>
        <w:t>6)</w:t>
      </w:r>
      <w:r>
        <w:rPr/>
        <w:t xml:space="preserve"> неоднократного несоблюдения избирательным объединением ограничений, предусмотренных </w:t>
      </w:r>
      <w:hyperlink w:anchor="Lbl528">
        <w:r>
          <w:rPr>
            <w:rStyle w:val="style17"/>
          </w:rPr>
          <w:t>частью 8 статьи 52</w:t>
        </w:r>
      </w:hyperlink>
      <w:r>
        <w:rPr/>
        <w:t xml:space="preserve"> настоящего Закона;</w:t>
      </w:r>
    </w:p>
    <w:p>
      <w:pPr>
        <w:pStyle w:val="style41"/>
        <w:rPr/>
      </w:pPr>
      <w:bookmarkStart w:id="1065" w:name="Lbl7687"/>
      <w:bookmarkEnd w:id="1065"/>
      <w:r>
        <w:rPr/>
        <w:t>Законом Рязанской области от 9 декабря 2011 г. № 117-ОЗ в пункт 7 части 8 статьи 76 главы 10 настоящего Закона внесены изменения</w:t>
      </w:r>
    </w:p>
    <w:p>
      <w:pPr>
        <w:pStyle w:val="style41"/>
        <w:rPr/>
      </w:pPr>
      <w:r>
        <w:rPr/>
        <w:t>См. текст пункта в предыдущей редакции</w:t>
      </w:r>
    </w:p>
    <w:p>
      <w:pPr>
        <w:pStyle w:val="style22"/>
        <w:rPr/>
      </w:pPr>
      <w:r>
        <w:rPr>
          <w:rStyle w:val="style18"/>
        </w:rPr>
        <w:t>7)</w:t>
      </w:r>
      <w:r>
        <w:rPr/>
        <w:t xml:space="preserve"> установления в отношении избирательного объединения факта, свидетельствующего о том, что в течение периода, указанного в </w:t>
      </w:r>
      <w:hyperlink w:anchor="Lbl5084">
        <w:r>
          <w:rPr>
            <w:rStyle w:val="style17"/>
          </w:rPr>
          <w:t>пункте 4 части 8 статьи 5</w:t>
        </w:r>
      </w:hyperlink>
      <w:r>
        <w:rPr/>
        <w:t xml:space="preserve"> настоящего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 доступ к которым не ограничен определенным кругом лиц, включая сеть «Интернет») призывало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Lbl7610">
        <w:r>
          <w:rPr>
            <w:rStyle w:val="style17"/>
          </w:rPr>
          <w:t>частью 10</w:t>
        </w:r>
      </w:hyperlink>
      <w:r>
        <w:rPr/>
        <w:t xml:space="preserve"> настоящей статьи.</w:t>
      </w:r>
    </w:p>
    <w:p>
      <w:pPr>
        <w:pStyle w:val="style22"/>
        <w:rPr/>
      </w:pPr>
      <w:bookmarkStart w:id="1066" w:name="Lbl769"/>
      <w:bookmarkEnd w:id="1066"/>
      <w:r>
        <w:rPr>
          <w:rStyle w:val="style18"/>
        </w:rPr>
        <w:t>9.</w:t>
      </w:r>
      <w:r>
        <w:rPr/>
        <w:t xml:space="preserve"> Регистрация кандидата, включенного в зарегистрированный список кандидатов, может быть отменена судом по заявлению избирательной комиссии муниципального образования, избирательного объединения, список кандидатов которого зарегистрирован по тому же избирательному округу, в случае, предусмотренном </w:t>
      </w:r>
      <w:hyperlink w:anchor="Lbl7673">
        <w:r>
          <w:rPr>
            <w:rStyle w:val="style17"/>
          </w:rPr>
          <w:t>пунктом 3</w:t>
        </w:r>
      </w:hyperlink>
      <w:r>
        <w:rPr/>
        <w:t xml:space="preserve">, </w:t>
      </w:r>
      <w:hyperlink w:anchor="Lbl7675">
        <w:r>
          <w:rPr>
            <w:rStyle w:val="style17"/>
          </w:rPr>
          <w:t>5</w:t>
        </w:r>
      </w:hyperlink>
      <w:r>
        <w:rPr/>
        <w:t xml:space="preserve"> или </w:t>
      </w:r>
      <w:hyperlink w:anchor="Lbl7678">
        <w:r>
          <w:rPr>
            <w:rStyle w:val="style17"/>
          </w:rPr>
          <w:t>8 части 7</w:t>
        </w:r>
      </w:hyperlink>
      <w:r>
        <w:rP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Lbl3591">
        <w:r>
          <w:rPr>
            <w:rStyle w:val="style17"/>
          </w:rPr>
          <w:t>пунктами 1</w:t>
        </w:r>
      </w:hyperlink>
      <w:r>
        <w:rPr/>
        <w:t xml:space="preserve">, </w:t>
      </w:r>
      <w:hyperlink w:anchor="Lbl3592">
        <w:r>
          <w:rPr>
            <w:rStyle w:val="style17"/>
          </w:rPr>
          <w:t>2</w:t>
        </w:r>
      </w:hyperlink>
      <w:r>
        <w:rPr/>
        <w:t xml:space="preserve">, </w:t>
      </w:r>
      <w:hyperlink w:anchor="Lbl3593">
        <w:r>
          <w:rPr>
            <w:rStyle w:val="style17"/>
          </w:rPr>
          <w:t>3</w:t>
        </w:r>
      </w:hyperlink>
      <w:r>
        <w:rPr/>
        <w:t xml:space="preserve">, </w:t>
      </w:r>
      <w:hyperlink w:anchor="Lbl3594">
        <w:r>
          <w:rPr>
            <w:rStyle w:val="style17"/>
          </w:rPr>
          <w:t>4</w:t>
        </w:r>
      </w:hyperlink>
      <w:r>
        <w:rPr/>
        <w:t xml:space="preserve"> или </w:t>
      </w:r>
      <w:hyperlink w:anchor="Lbl3596">
        <w:r>
          <w:rPr>
            <w:rStyle w:val="style17"/>
          </w:rPr>
          <w:t>6 части 9 статьи 35</w:t>
        </w:r>
      </w:hyperlink>
      <w:r>
        <w:rPr/>
        <w:t xml:space="preserve"> настоящего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pPr>
        <w:pStyle w:val="style22"/>
        <w:rPr/>
      </w:pPr>
      <w:bookmarkStart w:id="1067" w:name="Lbl7610"/>
      <w:bookmarkEnd w:id="1067"/>
      <w:r>
        <w:rPr>
          <w:rStyle w:val="style18"/>
        </w:rPr>
        <w:t>10.</w:t>
      </w:r>
      <w:r>
        <w:rPr/>
        <w:t xml:space="preserve">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Lbl7685">
        <w:r>
          <w:rPr>
            <w:rStyle w:val="style17"/>
          </w:rPr>
          <w:t>пунктом 5</w:t>
        </w:r>
      </w:hyperlink>
      <w:r>
        <w:rPr/>
        <w:t xml:space="preserve"> или </w:t>
      </w:r>
      <w:hyperlink w:anchor="Lbl7687">
        <w:r>
          <w:rPr>
            <w:rStyle w:val="style17"/>
          </w:rPr>
          <w:t>7 части 8</w:t>
        </w:r>
      </w:hyperlink>
      <w:r>
        <w:rP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pPr>
        <w:pStyle w:val="style22"/>
        <w:rPr/>
      </w:pPr>
      <w:bookmarkStart w:id="1068" w:name="Lbl7611"/>
      <w:bookmarkEnd w:id="1068"/>
      <w:r>
        <w:rPr>
          <w:rStyle w:val="style18"/>
        </w:rPr>
        <w:t>11.</w:t>
      </w:r>
      <w:r>
        <w:rPr/>
        <w:t xml:space="preserve"> В случае несоблюдения кандидатом, избирательным объединением ограничений, предусмотренных </w:t>
      </w:r>
      <w:hyperlink w:anchor="Lbl521">
        <w:r>
          <w:rPr>
            <w:rStyle w:val="style17"/>
          </w:rPr>
          <w:t>частью 1 статьи 52</w:t>
        </w:r>
      </w:hyperlink>
      <w:r>
        <w:rPr/>
        <w:t xml:space="preserve"> настоящего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Lbl7677">
        <w:r>
          <w:rPr>
            <w:rStyle w:val="style17"/>
          </w:rPr>
          <w:t>пунктом 7 части 7</w:t>
        </w:r>
      </w:hyperlink>
      <w:r>
        <w:rPr/>
        <w:t xml:space="preserve">, </w:t>
      </w:r>
      <w:hyperlink w:anchor="Lbl7687">
        <w:r>
          <w:rPr>
            <w:rStyle w:val="style17"/>
          </w:rPr>
          <w:t>пунктом 7 части 8</w:t>
        </w:r>
      </w:hyperlink>
      <w:r>
        <w:rPr/>
        <w:t xml:space="preserve"> настоящей статьи, и в случаях, предусмотренных </w:t>
      </w:r>
      <w:hyperlink w:anchor="Lbl7672">
        <w:r>
          <w:rPr>
            <w:rStyle w:val="style17"/>
          </w:rPr>
          <w:t>пунктами 2</w:t>
        </w:r>
      </w:hyperlink>
      <w:r>
        <w:rPr/>
        <w:t xml:space="preserve">, </w:t>
      </w:r>
      <w:hyperlink w:anchor="Lbl7673">
        <w:r>
          <w:rPr>
            <w:rStyle w:val="style17"/>
          </w:rPr>
          <w:t>3</w:t>
        </w:r>
      </w:hyperlink>
      <w:r>
        <w:rPr/>
        <w:t xml:space="preserve">, </w:t>
      </w:r>
      <w:hyperlink w:anchor="Lbl7674">
        <w:r>
          <w:rPr>
            <w:rStyle w:val="style17"/>
          </w:rPr>
          <w:t>4</w:t>
        </w:r>
      </w:hyperlink>
      <w:r>
        <w:rPr/>
        <w:t xml:space="preserve"> и </w:t>
      </w:r>
      <w:hyperlink w:anchor="Lbl7678">
        <w:r>
          <w:rPr>
            <w:rStyle w:val="style17"/>
          </w:rPr>
          <w:t>8 части 7</w:t>
        </w:r>
      </w:hyperlink>
      <w:r>
        <w:rPr/>
        <w:t xml:space="preserve">, </w:t>
      </w:r>
      <w:hyperlink w:anchor="Lbl7682">
        <w:r>
          <w:rPr>
            <w:rStyle w:val="style17"/>
          </w:rPr>
          <w:t>пунктами 2</w:t>
        </w:r>
      </w:hyperlink>
      <w:r>
        <w:rPr/>
        <w:t xml:space="preserve">, </w:t>
      </w:r>
      <w:hyperlink w:anchor="Lbl7683">
        <w:r>
          <w:rPr>
            <w:rStyle w:val="style17"/>
          </w:rPr>
          <w:t>3</w:t>
        </w:r>
      </w:hyperlink>
      <w:r>
        <w:rPr/>
        <w:t xml:space="preserve"> и </w:t>
      </w:r>
      <w:hyperlink w:anchor="Lbl7684">
        <w:r>
          <w:rPr>
            <w:rStyle w:val="style17"/>
          </w:rPr>
          <w:t>4 части 8</w:t>
        </w:r>
      </w:hyperlink>
      <w:r>
        <w:rPr/>
        <w:t xml:space="preserve"> настоящей статьи, регистрация кандидата (списка кандидатов) может быть отменена судом по заявлению прокурора.</w:t>
      </w:r>
    </w:p>
    <w:p>
      <w:pPr>
        <w:pStyle w:val="style47"/>
        <w:rPr/>
      </w:pPr>
      <w:bookmarkStart w:id="1069" w:name="Lbl77"/>
      <w:bookmarkEnd w:id="1069"/>
      <w:r>
        <w:rPr/>
        <w:t>Статья 77</w:t>
      </w:r>
    </w:p>
    <w:p>
      <w:pPr>
        <w:pStyle w:val="style46"/>
        <w:rPr/>
      </w:pPr>
      <w:r>
        <w:rPr>
          <w:rStyle w:val="style18"/>
        </w:rPr>
        <w:t>Статья 77</w:t>
      </w:r>
      <w:r>
        <w:rPr/>
        <w:t>. Отмена решения избирательной комиссии об итогах голосования, о результатах выборов депутатов представительного органа муниципального образования</w:t>
      </w:r>
    </w:p>
    <w:p>
      <w:pPr>
        <w:pStyle w:val="style22"/>
        <w:rPr/>
      </w:pPr>
      <w:bookmarkStart w:id="1070" w:name="Lbl771"/>
      <w:bookmarkEnd w:id="1070"/>
      <w:r>
        <w:rPr>
          <w:rStyle w:val="style18"/>
        </w:rPr>
        <w:t>1.</w:t>
      </w:r>
      <w:r>
        <w:rPr/>
        <w:t xml:space="preserve"> Если при проведении голосования или установлении итогов голосования были допущены нарушения Федерального закона «Об основных гарантиях избирательных прав и права на участие в референдуме граждан Российской Федерации», настоящего Закона, вышестоящая избирательная комиссия до установления ею итогов голосования, определения результатов выборов может отменить решение нижестоящей избирательной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 В случае признания итогов голосования недействительными данные соответствующего протокола об итогах голосования не включаются в данные протоколов об итогах голосования, о результатах выборов, составленных вышестоящими избирательными комиссиями.</w:t>
      </w:r>
    </w:p>
    <w:p>
      <w:pPr>
        <w:pStyle w:val="style22"/>
        <w:rPr/>
      </w:pPr>
      <w:bookmarkStart w:id="1071" w:name="Lbl772"/>
      <w:bookmarkEnd w:id="1071"/>
      <w:r>
        <w:rPr>
          <w:rStyle w:val="style18"/>
        </w:rPr>
        <w:t>2.</w:t>
      </w:r>
      <w:r>
        <w:rPr/>
        <w:t xml:space="preserve"> После установления итогов голосования, определения результатов выборов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избирательной комиссии об итогах голосования, о результатах выборов и (или) сводную таблицу данная избирательная комиссия информирует избирательную комиссию муниципального образования. В случае принятия судом решения о внесении изменений в протокол избирательной комиссии об итогах голосования, о результатах выборов и (или) сводную таблицу избирательная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pPr>
        <w:pStyle w:val="style22"/>
        <w:rPr/>
      </w:pPr>
      <w:bookmarkStart w:id="1072" w:name="Lbl773"/>
      <w:bookmarkEnd w:id="1072"/>
      <w:r>
        <w:rPr>
          <w:rStyle w:val="style18"/>
        </w:rPr>
        <w:t>3.</w:t>
      </w:r>
      <w:r>
        <w:rPr/>
        <w:t xml:space="preserve"> Суд соответствующего уровня, отменив решение избирательной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Федерального закона «Об основных гарантиях избирательных прав и права на участие в референдуме граждан Российской Федерации», настоящего Закона. В случае, если допущенные нарушения не позволяют с достоверностью определить результаты волеизъявления избирателей, суд может признать итоги голосования, результаты выборов недействительными.</w:t>
      </w:r>
    </w:p>
    <w:p>
      <w:pPr>
        <w:pStyle w:val="style22"/>
        <w:rPr/>
      </w:pPr>
      <w:bookmarkStart w:id="1073" w:name="Lbl774"/>
      <w:bookmarkEnd w:id="1073"/>
      <w:r>
        <w:rPr>
          <w:rStyle w:val="style18"/>
        </w:rPr>
        <w:t>4.</w:t>
      </w:r>
      <w:r>
        <w:rPr/>
        <w:t xml:space="preserve"> Основанием для отмены судом решения избирательной комиссии о результатах выборов депутатов представительного органа муниципального образования после определения результатов выборов являются следующие установленные судом обстоятельства:</w:t>
      </w:r>
    </w:p>
    <w:p>
      <w:pPr>
        <w:pStyle w:val="style22"/>
        <w:rPr/>
      </w:pPr>
      <w:bookmarkStart w:id="1074" w:name="Lbl7741"/>
      <w:bookmarkEnd w:id="1074"/>
      <w:r>
        <w:rPr>
          <w:rStyle w:val="style18"/>
        </w:rPr>
        <w:t>1)</w:t>
      </w:r>
      <w:r>
        <w:rPr/>
        <w:t xml:space="preserve">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настоящим Законом;</w:t>
      </w:r>
    </w:p>
    <w:p>
      <w:pPr>
        <w:pStyle w:val="style22"/>
        <w:rPr/>
      </w:pPr>
      <w:bookmarkStart w:id="1075" w:name="Lbl7742"/>
      <w:bookmarkEnd w:id="1075"/>
      <w:r>
        <w:rPr>
          <w:rStyle w:val="style18"/>
        </w:rPr>
        <w:t>2)</w:t>
      </w:r>
      <w:r>
        <w:rPr/>
        <w:t xml:space="preserve"> кандидат, признанный избранным, избирательное объединение, выдвинувшее список кандидатов, допущенный к распределению депутатских мандатов, осуществили подкуп избирателей, и указанное нарушение не позволяет выявить действительную волю избирателей;</w:t>
      </w:r>
    </w:p>
    <w:p>
      <w:pPr>
        <w:pStyle w:val="style22"/>
        <w:rPr/>
      </w:pPr>
      <w:bookmarkStart w:id="1076" w:name="Lbl7743"/>
      <w:bookmarkEnd w:id="1076"/>
      <w:r>
        <w:rPr>
          <w:rStyle w:val="style18"/>
        </w:rPr>
        <w:t>3)</w:t>
      </w:r>
      <w:r>
        <w:rPr/>
        <w:t xml:space="preserve">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предвыборной агитации вышли за рамки ограничений, предусмотренных </w:t>
      </w:r>
      <w:hyperlink w:anchor="Lbl521">
        <w:r>
          <w:rPr>
            <w:rStyle w:val="style17"/>
          </w:rPr>
          <w:t>частью 1 статьи 52</w:t>
        </w:r>
      </w:hyperlink>
      <w:r>
        <w:rPr/>
        <w:t xml:space="preserve"> настоящего Закона, и указанное нарушение не позволяет выявить действительную волю избирателей;</w:t>
      </w:r>
    </w:p>
    <w:p>
      <w:pPr>
        <w:pStyle w:val="style22"/>
        <w:rPr/>
      </w:pPr>
      <w:bookmarkStart w:id="1077" w:name="Lbl7744"/>
      <w:bookmarkEnd w:id="1077"/>
      <w:r>
        <w:rPr>
          <w:rStyle w:val="style18"/>
        </w:rPr>
        <w:t>4)</w:t>
      </w:r>
      <w:r>
        <w:rPr/>
        <w:t xml:space="preserve">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pPr>
        <w:pStyle w:val="style22"/>
        <w:rPr/>
      </w:pPr>
      <w:bookmarkStart w:id="1078" w:name="Lbl775"/>
      <w:bookmarkEnd w:id="1078"/>
      <w:r>
        <w:rPr>
          <w:rStyle w:val="style18"/>
        </w:rPr>
        <w:t>5.</w:t>
      </w:r>
      <w:r>
        <w:rPr/>
        <w:t xml:space="preserve"> Суд соответствующего уровня может отменить решение избирательной комиссии об итогах голосования на избирательном участке, территории, о результатах выборов на территории соответствующего избирательного округа в целом также в случае нарушения правил составления списков избирателей, порядка формирования избирательных комиссий, порядка голосования и подсчета голосов (включая воспрепятствование наблюдению за их проведением), определения результатов выборов, незаконного отказа в регистрации кандидата, списка кандидатов, признанного таковым после дня голосования, других нарушений избирательного законодательства, если эти нарушения не позволяют выявить действительную волю избирателей.</w:t>
      </w:r>
    </w:p>
    <w:p>
      <w:pPr>
        <w:pStyle w:val="style22"/>
        <w:rPr/>
      </w:pPr>
      <w:bookmarkStart w:id="1079" w:name="Lbl776"/>
      <w:bookmarkEnd w:id="1079"/>
      <w:r>
        <w:rPr>
          <w:rStyle w:val="style18"/>
        </w:rPr>
        <w:t>6.</w:t>
      </w:r>
      <w:r>
        <w:rPr/>
        <w:t xml:space="preserve"> Не могут служить основанием для отмены решения о результатах выборов, признания итогов голосования, результатов выборов недействительными нарушения Федерального закона «Об основных гарантиях избирательных прав и права на участие в референдуме граждан Российской Федерации», настоящего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pPr>
        <w:pStyle w:val="style22"/>
        <w:rPr/>
      </w:pPr>
      <w:bookmarkStart w:id="1080" w:name="Lbl777"/>
      <w:bookmarkEnd w:id="1080"/>
      <w:r>
        <w:rPr>
          <w:rStyle w:val="style18"/>
        </w:rPr>
        <w:t>7.</w:t>
      </w:r>
      <w:r>
        <w:rPr/>
        <w:t xml:space="preserve">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pPr>
        <w:pStyle w:val="style22"/>
        <w:rPr/>
      </w:pPr>
      <w:bookmarkStart w:id="1081" w:name="Lbl778"/>
      <w:bookmarkEnd w:id="1081"/>
      <w:r>
        <w:rPr>
          <w:rStyle w:val="style18"/>
        </w:rPr>
        <w:t>8.</w:t>
      </w:r>
      <w:r>
        <w:rPr/>
        <w:t xml:space="preserve"> При проведении выборов по многомандатному избирательному округу нарушения со стороны отдельных кандидатов, указанные в </w:t>
      </w:r>
      <w:hyperlink w:anchor="Lbl774">
        <w:r>
          <w:rPr>
            <w:rStyle w:val="style17"/>
          </w:rPr>
          <w:t>части 4</w:t>
        </w:r>
      </w:hyperlink>
      <w:r>
        <w:rPr/>
        <w:t xml:space="preserve"> настоящей статьи, могут повлечь отмену решения о результатах выборов только в части, касающейся этих кандидатов.</w:t>
      </w:r>
    </w:p>
    <w:p>
      <w:pPr>
        <w:pStyle w:val="style22"/>
        <w:rPr/>
      </w:pPr>
      <w:bookmarkStart w:id="1082" w:name="Lbl779"/>
      <w:bookmarkEnd w:id="1082"/>
      <w:r>
        <w:rPr>
          <w:rStyle w:val="style18"/>
        </w:rPr>
        <w:t>9.</w:t>
      </w:r>
      <w:r>
        <w:rPr/>
        <w:t xml:space="preserve"> При голосовании за списки кандидатов нарушения со стороны отдельных избирательных объединений, указанные в </w:t>
      </w:r>
      <w:hyperlink w:anchor="Lbl774">
        <w:r>
          <w:rPr>
            <w:rStyle w:val="style17"/>
          </w:rPr>
          <w:t>части 4</w:t>
        </w:r>
      </w:hyperlink>
      <w:r>
        <w:rP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pPr>
        <w:pStyle w:val="style22"/>
        <w:rPr/>
      </w:pPr>
      <w:bookmarkStart w:id="1083" w:name="Lbl7710"/>
      <w:bookmarkEnd w:id="1083"/>
      <w:r>
        <w:rPr>
          <w:rStyle w:val="style18"/>
        </w:rPr>
        <w:t>10.</w:t>
      </w:r>
      <w:r>
        <w:rPr/>
        <w:t xml:space="preserve"> В случае признания итогов голосования на избирательном участке, на территории соответствующего избирательного округа недействительными после составления вышестоящей избирательной комиссией протокола об итогах голосования, о результатах выборов эта избирательная комиссия обязана составить новый протокол о результатах выборов с отметкой: «Повторный».</w:t>
      </w:r>
    </w:p>
    <w:p>
      <w:pPr>
        <w:pStyle w:val="style22"/>
        <w:rPr/>
      </w:pPr>
      <w:bookmarkStart w:id="1084" w:name="Lbl7711"/>
      <w:bookmarkEnd w:id="1084"/>
      <w:r>
        <w:rPr>
          <w:rStyle w:val="style18"/>
        </w:rPr>
        <w:t>11.</w:t>
      </w:r>
      <w:r>
        <w:rPr/>
        <w:t xml:space="preserve"> На основании протоколов участковых избирательных комиссий об итогах голосования с отметкой: «Повторный» или «Повторный подсчет голосов», составленных после составления вышестоящей избирательной комиссией протокола о результатах выборов и сводной таблицы, в протокол и сводную таблицу, составленные окружной избирательной комиссией, избирательной комиссией муниципального образования, вносятся соответствующие изменения.</w:t>
      </w:r>
    </w:p>
    <w:p>
      <w:pPr>
        <w:pStyle w:val="style47"/>
        <w:rPr/>
      </w:pPr>
      <w:bookmarkStart w:id="1085" w:name="Lbl78"/>
      <w:bookmarkEnd w:id="1085"/>
      <w:r>
        <w:rPr/>
        <w:t>Статья 78</w:t>
      </w:r>
    </w:p>
    <w:p>
      <w:pPr>
        <w:pStyle w:val="style46"/>
        <w:rPr/>
      </w:pPr>
      <w:r>
        <w:rPr>
          <w:rStyle w:val="style18"/>
        </w:rPr>
        <w:t>Статья 78</w:t>
      </w:r>
      <w:r>
        <w:rPr/>
        <w:t>. Сроки подачи и рассмотрения жалоб и заявлений</w:t>
      </w:r>
    </w:p>
    <w:p>
      <w:pPr>
        <w:pStyle w:val="style22"/>
        <w:rPr/>
      </w:pPr>
      <w:bookmarkStart w:id="1086" w:name="Lbl781"/>
      <w:bookmarkEnd w:id="1086"/>
      <w:r>
        <w:rPr>
          <w:rStyle w:val="style18"/>
        </w:rPr>
        <w:t>1.</w:t>
      </w:r>
      <w:r>
        <w:rPr/>
        <w:t xml:space="preserve"> Сроки подачи жалоб и заявлений в суд, а также сроки их рассмотрения устанавливаются федеральным законодательством.</w:t>
      </w:r>
    </w:p>
    <w:p>
      <w:pPr>
        <w:pStyle w:val="style22"/>
        <w:rPr/>
      </w:pPr>
      <w:bookmarkStart w:id="1087" w:name="Lbl782"/>
      <w:bookmarkEnd w:id="1087"/>
      <w:r>
        <w:rPr>
          <w:rStyle w:val="style18"/>
        </w:rPr>
        <w:t>2.</w:t>
      </w:r>
      <w:r>
        <w:rPr/>
        <w:t xml:space="preserve"> Жалоба на решение окружной избирательной комиссии о регистрации, об отказе в регистрации кандидата, избирательной комиссии муниципального образования о регистрации, об отказе в регистрации списка кандидатов может быть подана в течение десяти дней со дня принятия обжалуемого решения. Указанный срок восстановлению не подлежит.</w:t>
      </w:r>
    </w:p>
    <w:p>
      <w:pPr>
        <w:pStyle w:val="style22"/>
        <w:rPr/>
      </w:pPr>
      <w:bookmarkStart w:id="1088" w:name="Lbl783"/>
      <w:bookmarkEnd w:id="1088"/>
      <w:r>
        <w:rPr>
          <w:rStyle w:val="style18"/>
        </w:rPr>
        <w:t>3.</w:t>
      </w:r>
      <w:r>
        <w:rPr/>
        <w:t xml:space="preserve"> Решения по жалобам, поступившим до дня голосования в период избирательной кампании,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w:t>
      </w:r>
    </w:p>
    <w:p>
      <w:pPr>
        <w:pStyle w:val="style22"/>
        <w:rPr/>
      </w:pPr>
      <w:r>
        <w:rPr/>
        <w:t>Если факты, содержащиеся в жалобах, требуют дополнительной проверки, решения по ним принимаются не позднее чем в десятидневный срок. О принятом решении заявителю сообщается письменно.</w:t>
      </w:r>
    </w:p>
    <w:p>
      <w:pPr>
        <w:pStyle w:val="style47"/>
        <w:rPr/>
      </w:pPr>
      <w:bookmarkStart w:id="1089" w:name="Lbl79"/>
      <w:bookmarkEnd w:id="1089"/>
      <w:r>
        <w:rPr/>
        <w:t>Статья 79</w:t>
      </w:r>
    </w:p>
    <w:p>
      <w:pPr>
        <w:pStyle w:val="style46"/>
        <w:rPr/>
      </w:pPr>
      <w:r>
        <w:rPr>
          <w:rStyle w:val="style18"/>
        </w:rPr>
        <w:t>Статья 79.</w:t>
      </w:r>
      <w:r>
        <w:rPr/>
        <w:t xml:space="preserve"> Ответственность за нарушение законодательства о выборах депутатов представительного органа муниципального образования</w:t>
      </w:r>
    </w:p>
    <w:p>
      <w:pPr>
        <w:pStyle w:val="style22"/>
        <w:rPr/>
      </w:pPr>
      <w:r>
        <w:rPr/>
        <w:t>Ответственность за нарушение законодательства о выборах депутатов представительного органа муниципального образования устанавливается федеральными законами.</w:t>
      </w:r>
    </w:p>
    <w:p>
      <w:pPr>
        <w:pStyle w:val="style47"/>
        <w:rPr/>
      </w:pPr>
      <w:bookmarkStart w:id="1090" w:name="Lbl111"/>
      <w:bookmarkEnd w:id="1090"/>
      <w:r>
        <w:rPr/>
        <w:t>Справочник наблюдателя — www.nablawiki.ru</w:t>
      </w:r>
    </w:p>
    <w:p>
      <w:pPr>
        <w:pStyle w:val="style2"/>
        <w:rPr/>
      </w:pPr>
      <w:r>
        <w:rPr/>
        <w:t>Глава 11. Заключительные положения</w:t>
      </w:r>
    </w:p>
    <w:p>
      <w:pPr>
        <w:pStyle w:val="style47"/>
        <w:rPr/>
      </w:pPr>
      <w:bookmarkStart w:id="1091" w:name="Lbl80"/>
      <w:bookmarkEnd w:id="1091"/>
      <w:r>
        <w:rPr/>
        <w:t>Статья 80</w:t>
      </w:r>
    </w:p>
    <w:p>
      <w:pPr>
        <w:pStyle w:val="style46"/>
        <w:rPr/>
      </w:pPr>
      <w:r>
        <w:rPr>
          <w:rStyle w:val="style18"/>
        </w:rPr>
        <w:t>Статья 80</w:t>
      </w:r>
      <w:r>
        <w:rPr/>
        <w:t>. О признании утратившими силу отдельных законодательных актов (положений законодательных актов) Рязанской области</w:t>
      </w:r>
    </w:p>
    <w:p>
      <w:pPr>
        <w:pStyle w:val="style22"/>
        <w:rPr/>
      </w:pPr>
      <w:r>
        <w:rPr/>
        <w:t>Со дня вступления в силу настоящего Закона признать утратившими силу:</w:t>
      </w:r>
    </w:p>
    <w:p>
      <w:pPr>
        <w:pStyle w:val="style22"/>
        <w:rPr/>
      </w:pPr>
      <w:bookmarkStart w:id="1092" w:name="Lbl810"/>
      <w:bookmarkEnd w:id="1092"/>
      <w:r>
        <w:rPr>
          <w:rStyle w:val="style18"/>
        </w:rPr>
        <w:t>1)</w:t>
      </w:r>
      <w:r>
        <w:rPr/>
        <w:t xml:space="preserve"> Закон Рязанской области от 13.12.2006 № 161-ОЗ «О выборах в органы местного самоуправления Рязанской области»;</w:t>
      </w:r>
    </w:p>
    <w:p>
      <w:pPr>
        <w:pStyle w:val="style22"/>
        <w:rPr/>
      </w:pPr>
      <w:bookmarkStart w:id="1093" w:name="Lbl820"/>
      <w:bookmarkEnd w:id="1093"/>
      <w:r>
        <w:rPr>
          <w:rStyle w:val="style18"/>
        </w:rPr>
        <w:t>2)</w:t>
      </w:r>
      <w:r>
        <w:rPr/>
        <w:t xml:space="preserve"> Закон Рязанской области от 29.12.2006 № 191-ОЗ «О внесении изменений в статьи 72 и 73 Закона Рязанской области «О выборах в органы местного самоуправления Рязанской области»;</w:t>
      </w:r>
    </w:p>
    <w:p>
      <w:pPr>
        <w:pStyle w:val="style22"/>
        <w:rPr/>
      </w:pPr>
      <w:bookmarkStart w:id="1094" w:name="Lbl830"/>
      <w:bookmarkEnd w:id="1094"/>
      <w:r>
        <w:rPr>
          <w:rStyle w:val="style18"/>
        </w:rPr>
        <w:t>3)</w:t>
      </w:r>
      <w:r>
        <w:rPr/>
        <w:t xml:space="preserve"> Закон Рязанской области от 12.09.2007 № 127-ОЗ «О внесении изменений в Закон Рязанской области «О выборах в органы местного самоуправления Рязанской области»;</w:t>
      </w:r>
    </w:p>
    <w:p>
      <w:pPr>
        <w:pStyle w:val="style22"/>
        <w:rPr/>
      </w:pPr>
      <w:bookmarkStart w:id="1095" w:name="Lbl840"/>
      <w:bookmarkEnd w:id="1095"/>
      <w:r>
        <w:rPr>
          <w:rStyle w:val="style18"/>
        </w:rPr>
        <w:t>4)</w:t>
      </w:r>
      <w:r>
        <w:rPr/>
        <w:t xml:space="preserve"> Закон Рязанской области от 28.11.2007 № 180-ОЗ «О внесении изменений в Закон Рязанской области «О выборах в органы местного самоуправления Рязанской области»;</w:t>
      </w:r>
    </w:p>
    <w:p>
      <w:pPr>
        <w:pStyle w:val="style22"/>
        <w:rPr/>
      </w:pPr>
      <w:bookmarkStart w:id="1096" w:name="Lbl850"/>
      <w:bookmarkEnd w:id="1096"/>
      <w:r>
        <w:rPr>
          <w:rStyle w:val="style18"/>
        </w:rPr>
        <w:t>5)</w:t>
      </w:r>
      <w:r>
        <w:rPr/>
        <w:t xml:space="preserve"> Закон Рязанской области от 07.11.2008 № 156-ОЗ «О внесении изменений в Закон Рязанской области «О выборах в органы местного самоуправления Рязанской области»;</w:t>
      </w:r>
    </w:p>
    <w:p>
      <w:pPr>
        <w:pStyle w:val="style22"/>
        <w:rPr/>
      </w:pPr>
      <w:bookmarkStart w:id="1097" w:name="Lbl860"/>
      <w:bookmarkEnd w:id="1097"/>
      <w:r>
        <w:rPr>
          <w:rStyle w:val="style18"/>
        </w:rPr>
        <w:t>6)</w:t>
      </w:r>
      <w:r>
        <w:rPr/>
        <w:t xml:space="preserve"> статью 3 Закона Рязанской области от 03.11.2009 № 136-ОЗ «О внесении изменений в отдельные законодательные акты Рязанской области в связи с изменением федерального законодательства о выборах и регионального законодательства»;</w:t>
      </w:r>
    </w:p>
    <w:p>
      <w:pPr>
        <w:pStyle w:val="style22"/>
        <w:rPr/>
      </w:pPr>
      <w:bookmarkStart w:id="1098" w:name="Lbl870"/>
      <w:bookmarkEnd w:id="1098"/>
      <w:r>
        <w:rPr>
          <w:rStyle w:val="style18"/>
        </w:rPr>
        <w:t>7)</w:t>
      </w:r>
      <w:r>
        <w:rPr/>
        <w:t xml:space="preserve"> Закон Рязанской области от 28.12.2009 № 176-ОЗ «О внесении изменения в статью 2 Закона Рязанской области «О выборах в органы местного самоуправления Рязанской области»;</w:t>
      </w:r>
    </w:p>
    <w:p>
      <w:pPr>
        <w:pStyle w:val="style22"/>
        <w:rPr/>
      </w:pPr>
      <w:bookmarkStart w:id="1099" w:name="Lbl880"/>
      <w:bookmarkEnd w:id="1099"/>
      <w:r>
        <w:rPr>
          <w:rStyle w:val="style18"/>
        </w:rPr>
        <w:t>8)</w:t>
      </w:r>
      <w:r>
        <w:rPr/>
        <w:t xml:space="preserve"> статью 2 Закона Рязанской области от 13.10.2010 № 113-ОЗ «О внесении изменений в отдельные законодательные акты Рязанской области в связи с изменением федерального законодательства о выборах».</w:t>
      </w:r>
    </w:p>
    <w:p>
      <w:pPr>
        <w:pStyle w:val="style47"/>
        <w:rPr/>
      </w:pPr>
      <w:bookmarkStart w:id="1100" w:name="Lbl81"/>
      <w:bookmarkEnd w:id="1100"/>
      <w:r>
        <w:rPr/>
        <w:t>Статья 81</w:t>
      </w:r>
    </w:p>
    <w:p>
      <w:pPr>
        <w:pStyle w:val="style46"/>
        <w:rPr/>
      </w:pPr>
      <w:r>
        <w:rPr>
          <w:rStyle w:val="style18"/>
        </w:rPr>
        <w:t>Статья 81</w:t>
      </w:r>
      <w:r>
        <w:rPr/>
        <w:t>. Вступление настоящего Закона в силу</w:t>
      </w:r>
    </w:p>
    <w:p>
      <w:pPr>
        <w:pStyle w:val="style22"/>
        <w:rPr/>
      </w:pPr>
      <w:r>
        <w:rPr/>
        <w:t>Настоящий Закон вступает в силу по истечении десяти дней после дня его официального опубликования.</w:t>
      </w:r>
    </w:p>
    <w:tbl>
      <w:tblPr>
        <w:jc w:val="left"/>
        <w:tblInd w:type="dxa" w:w="28"/>
        <w:tblBorders>
          <w:top w:val="nil"/>
          <w:left w:val="nil"/>
          <w:bottom w:val="nil"/>
          <w:insideH w:val="nil"/>
          <w:right w:val="nil"/>
          <w:insideV w:val="nil"/>
        </w:tblBorders>
        <w:tblCellMar>
          <w:top w:type="dxa" w:w="28"/>
          <w:left w:type="dxa" w:w="28"/>
          <w:bottom w:type="dxa" w:w="28"/>
          <w:right w:type="dxa" w:w="28"/>
        </w:tblCellMar>
      </w:tblPr>
      <w:tblGrid>
        <w:gridCol w:w="3577"/>
        <w:gridCol w:w="1761"/>
      </w:tblGrid>
      <w:tr>
        <w:trPr>
          <w:cantSplit w:val="false"/>
        </w:trPr>
        <w:tc>
          <w:tcPr>
            <w:tcW w:type="dxa" w:w="3577"/>
            <w:tcBorders>
              <w:top w:val="nil"/>
              <w:left w:val="nil"/>
              <w:bottom w:val="nil"/>
              <w:right w:val="nil"/>
            </w:tcBorders>
            <w:shd w:fill="auto" w:val="clear"/>
            <w:vAlign w:val="center"/>
          </w:tcPr>
          <w:p>
            <w:pPr>
              <w:pStyle w:val="style40"/>
              <w:spacing w:after="40" w:before="0"/>
              <w:contextualSpacing w:val="false"/>
              <w:jc w:val="left"/>
              <w:rPr/>
            </w:pPr>
            <w:r>
              <w:rPr/>
              <w:t>Губернатор Рязанской области</w:t>
            </w:r>
          </w:p>
        </w:tc>
        <w:tc>
          <w:tcPr>
            <w:tcW w:type="dxa" w:w="1761"/>
            <w:tcBorders>
              <w:top w:val="nil"/>
              <w:left w:val="nil"/>
              <w:bottom w:val="nil"/>
              <w:right w:val="nil"/>
            </w:tcBorders>
            <w:shd w:fill="auto" w:val="clear"/>
            <w:vAlign w:val="center"/>
          </w:tcPr>
          <w:p>
            <w:pPr>
              <w:pStyle w:val="style44"/>
              <w:jc w:val="right"/>
              <w:rPr/>
            </w:pPr>
            <w:r>
              <w:rPr/>
              <w:t>О.И. Ковалев</w:t>
            </w:r>
          </w:p>
        </w:tc>
      </w:tr>
    </w:tbl>
    <w:p>
      <w:pPr>
        <w:pStyle w:val="style41"/>
        <w:rPr/>
      </w:pPr>
      <w:bookmarkStart w:id="1101" w:name="Lbl1000"/>
      <w:bookmarkEnd w:id="1101"/>
      <w:r>
        <w:rPr/>
        <w:t>Законом Рязанской области от 14 мая 2013 г. № 24-ОЗ в настоящее приложение внесены изменения, вступающие в силу через десять дней после дня официального опубликования названного Закона</w:t>
      </w:r>
    </w:p>
    <w:p>
      <w:pPr>
        <w:pStyle w:val="style41"/>
        <w:rPr/>
      </w:pPr>
      <w:r>
        <w:rPr/>
        <w:t>См. текст приложения в предыдущей редакции</w:t>
      </w:r>
    </w:p>
    <w:p>
      <w:pPr>
        <w:pStyle w:val="style38"/>
        <w:rPr/>
      </w:pPr>
      <w:r>
        <w:rPr/>
        <w:t>См. данную форму в редакторе MS-Word</w:t>
      </w:r>
    </w:p>
    <w:p>
      <w:pPr>
        <w:pStyle w:val="style47"/>
        <w:rPr/>
      </w:pPr>
      <w:r>
        <w:rPr/>
        <w:t>Справочник наблюдателя — www.nablawiki.ru</w:t>
      </w:r>
    </w:p>
    <w:p>
      <w:pPr>
        <w:pStyle w:val="style2"/>
        <w:rPr>
          <w:rStyle w:val="style18"/>
        </w:rPr>
      </w:pPr>
      <w:r>
        <w:rPr>
          <w:rStyle w:val="style18"/>
        </w:rPr>
        <w:t>Приложение 1</w:t>
      </w:r>
    </w:p>
    <w:p>
      <w:pPr>
        <w:pStyle w:val="style44"/>
        <w:jc w:val="right"/>
        <w:rPr>
          <w:rStyle w:val="style18"/>
        </w:rPr>
      </w:pPr>
      <w:r>
        <w:rPr>
          <w:rStyle w:val="style18"/>
        </w:rPr>
        <w:t xml:space="preserve">к </w:t>
      </w:r>
      <w:hyperlink r:id="rId5">
        <w:r>
          <w:rPr>
            <w:rStyle w:val="style18"/>
          </w:rPr>
          <w:t>Закону</w:t>
        </w:r>
      </w:hyperlink>
      <w:r>
        <w:rPr>
          <w:rStyle w:val="style18"/>
        </w:rPr>
        <w:t xml:space="preserve"> Рязанской области</w:t>
      </w:r>
    </w:p>
    <w:p>
      <w:pPr>
        <w:pStyle w:val="style44"/>
        <w:jc w:val="right"/>
        <w:rPr>
          <w:rStyle w:val="style18"/>
        </w:rPr>
      </w:pPr>
      <w:r>
        <w:rPr>
          <w:rStyle w:val="style18"/>
        </w:rPr>
        <w:t>«О выборах депутатов представительного органа</w:t>
      </w:r>
    </w:p>
    <w:p>
      <w:pPr>
        <w:pStyle w:val="style44"/>
        <w:jc w:val="right"/>
        <w:rPr>
          <w:rStyle w:val="style18"/>
        </w:rPr>
      </w:pPr>
      <w:r>
        <w:rPr>
          <w:rStyle w:val="style18"/>
        </w:rPr>
        <w:t>муниципального образования в Рязанской области»</w:t>
      </w:r>
    </w:p>
    <w:p>
      <w:pPr>
        <w:pStyle w:val="style44"/>
        <w:jc w:val="right"/>
        <w:rPr>
          <w:rStyle w:val="style18"/>
        </w:rPr>
      </w:pPr>
      <w:r>
        <w:rPr>
          <w:rStyle w:val="style18"/>
        </w:rPr>
        <w:t>(с изменениями от 9 декабря 2011 г., 14 мая 2013 г.)</w:t>
      </w:r>
    </w:p>
    <w:p>
      <w:pPr>
        <w:pStyle w:val="style35"/>
        <w:spacing w:after="283" w:before="0"/>
        <w:contextualSpacing w:val="false"/>
        <w:rPr>
          <w:rStyle w:val="style18"/>
        </w:rPr>
      </w:pPr>
      <w:r>
        <w:rPr>
          <w:rStyle w:val="style18"/>
        </w:rPr>
        <w:t xml:space="preserve">                             </w:t>
      </w:r>
      <w:r>
        <w:rPr>
          <w:rStyle w:val="style18"/>
        </w:rPr>
        <w:t>ПОДПИСНОЙ ЛИСТ</w:t>
      </w:r>
    </w:p>
    <w:p>
      <w:pPr>
        <w:pStyle w:val="style35"/>
        <w:spacing w:after="283" w:before="0"/>
        <w:contextualSpacing w:val="false"/>
        <w:rPr/>
      </w:pPr>
      <w:r>
        <w:rPr/>
        <w:t xml:space="preserve">                            </w:t>
      </w:r>
      <w:r>
        <w:rPr/>
        <w:t>Выборы депутатов</w:t>
      </w:r>
    </w:p>
    <w:p>
      <w:pPr>
        <w:pStyle w:val="style35"/>
        <w:spacing w:after="283" w:before="0"/>
        <w:contextualSpacing w:val="false"/>
        <w:rPr/>
      </w:pPr>
      <w:r>
        <w:rPr/>
        <w:t>_________________________________________________________________________</w:t>
      </w:r>
    </w:p>
    <w:p>
      <w:pPr>
        <w:pStyle w:val="style35"/>
        <w:spacing w:after="283" w:before="0"/>
        <w:contextualSpacing w:val="false"/>
        <w:rPr/>
      </w:pPr>
      <w:r>
        <w:rPr/>
        <w:t xml:space="preserve">    </w:t>
      </w:r>
      <w:r>
        <w:rPr/>
        <w:t>(наименование представительного органа муниципального образования</w:t>
      </w:r>
    </w:p>
    <w:p>
      <w:pPr>
        <w:pStyle w:val="style35"/>
        <w:spacing w:after="283" w:before="0"/>
        <w:contextualSpacing w:val="false"/>
        <w:rPr/>
      </w:pPr>
      <w:r>
        <w:rPr/>
        <w:t xml:space="preserve">          </w:t>
      </w:r>
      <w:r>
        <w:rPr/>
        <w:t>в соответствии с уставом муниципального образования)</w:t>
      </w:r>
    </w:p>
    <w:p>
      <w:pPr>
        <w:pStyle w:val="style35"/>
        <w:spacing w:after="283" w:before="0"/>
        <w:contextualSpacing w:val="false"/>
        <w:rPr/>
      </w:pPr>
      <w:r>
        <w:rPr/>
        <w:t xml:space="preserve">                         </w:t>
      </w:r>
      <w:r>
        <w:rPr/>
        <w:t>«__» ____________ года</w:t>
      </w:r>
    </w:p>
    <w:p>
      <w:pPr>
        <w:pStyle w:val="style35"/>
        <w:spacing w:after="283" w:before="0"/>
        <w:contextualSpacing w:val="false"/>
        <w:rPr/>
      </w:pPr>
      <w:r>
        <w:rPr/>
        <w:t xml:space="preserve">                           </w:t>
      </w:r>
      <w:r>
        <w:rPr/>
        <w:t>(дата голосования)</w:t>
      </w:r>
    </w:p>
    <w:p>
      <w:pPr>
        <w:pStyle w:val="style35"/>
        <w:spacing w:after="283" w:before="0"/>
        <w:contextualSpacing w:val="false"/>
        <w:rPr/>
      </w:pPr>
      <w:r>
        <w:rPr/>
        <w:t>Мы, нижеподписавшиеся, поддерживаем _____________________________________</w:t>
      </w:r>
    </w:p>
    <w:p>
      <w:pPr>
        <w:pStyle w:val="style35"/>
        <w:spacing w:after="283" w:before="0"/>
        <w:contextualSpacing w:val="false"/>
        <w:rPr/>
      </w:pPr>
      <w:r>
        <w:rPr/>
        <w:t>_________________________________________________________________________</w:t>
      </w:r>
    </w:p>
    <w:p>
      <w:pPr>
        <w:pStyle w:val="style35"/>
        <w:spacing w:after="283" w:before="0"/>
        <w:contextualSpacing w:val="false"/>
        <w:rPr/>
      </w:pPr>
      <w:r>
        <w:rPr/>
        <w:t xml:space="preserve">                          </w:t>
      </w:r>
      <w:r>
        <w:rPr/>
        <w:t>(самовыдвижение)</w:t>
      </w:r>
    </w:p>
    <w:p>
      <w:pPr>
        <w:pStyle w:val="style35"/>
        <w:spacing w:after="283" w:before="0"/>
        <w:contextualSpacing w:val="false"/>
        <w:rPr/>
      </w:pPr>
      <w:r>
        <w:rPr/>
        <w:t>кандидата в депутаты по _________________________________________________</w:t>
      </w:r>
    </w:p>
    <w:p>
      <w:pPr>
        <w:pStyle w:val="style35"/>
        <w:spacing w:after="283" w:before="0"/>
        <w:contextualSpacing w:val="false"/>
        <w:rPr/>
      </w:pPr>
      <w:r>
        <w:rPr/>
        <w:t xml:space="preserve">                         </w:t>
      </w:r>
      <w:r>
        <w:rPr/>
        <w:t>(наименование или номер избирательного округа)</w:t>
      </w:r>
    </w:p>
    <w:p>
      <w:pPr>
        <w:pStyle w:val="style35"/>
        <w:spacing w:after="283" w:before="0"/>
        <w:contextualSpacing w:val="false"/>
        <w:rPr/>
      </w:pPr>
      <w:r>
        <w:rPr/>
        <w:t>гражданина _____________________________________________________________,</w:t>
      </w:r>
    </w:p>
    <w:p>
      <w:pPr>
        <w:pStyle w:val="style35"/>
        <w:spacing w:after="283" w:before="0"/>
        <w:contextualSpacing w:val="false"/>
        <w:rPr/>
      </w:pPr>
      <w:r>
        <w:rPr/>
        <w:t xml:space="preserve">             </w:t>
      </w:r>
      <w:r>
        <w:rPr/>
        <w:t>(гражданство)               (фамилия, имя, отчество)</w:t>
      </w:r>
    </w:p>
    <w:p>
      <w:pPr>
        <w:pStyle w:val="style35"/>
        <w:spacing w:after="283" w:before="0"/>
        <w:contextualSpacing w:val="false"/>
        <w:rPr/>
      </w:pPr>
      <w:r>
        <w:rPr/>
        <w:t>родившегося _____________, работающего _________________________________,</w:t>
      </w:r>
    </w:p>
    <w:p>
      <w:pPr>
        <w:pStyle w:val="style35"/>
        <w:spacing w:after="283" w:before="0"/>
        <w:contextualSpacing w:val="false"/>
        <w:rPr/>
      </w:pPr>
      <w:r>
        <w:rPr/>
        <w:t xml:space="preserve">           </w:t>
      </w:r>
      <w:r>
        <w:rPr/>
        <w:t>(дата рождения)            (место работы, занимаемая должность</w:t>
      </w:r>
    </w:p>
    <w:p>
      <w:pPr>
        <w:pStyle w:val="style35"/>
        <w:spacing w:after="283" w:before="0"/>
        <w:contextualSpacing w:val="false"/>
        <w:rPr/>
      </w:pPr>
      <w:r>
        <w:rPr/>
        <w:t xml:space="preserve">                                                </w:t>
      </w:r>
      <w:r>
        <w:rPr/>
        <w:t>или род занятий)</w:t>
      </w:r>
    </w:p>
    <w:p>
      <w:pPr>
        <w:pStyle w:val="style35"/>
        <w:spacing w:after="283" w:before="0"/>
        <w:contextualSpacing w:val="false"/>
        <w:rPr/>
      </w:pPr>
      <w:r>
        <w:rPr/>
        <w:t>проживающего ___________________________________________________________.</w:t>
      </w:r>
    </w:p>
    <w:p>
      <w:pPr>
        <w:pStyle w:val="style35"/>
        <w:spacing w:after="283" w:before="0"/>
        <w:contextualSpacing w:val="false"/>
        <w:rPr/>
      </w:pPr>
      <w:r>
        <w:rPr/>
        <w:t xml:space="preserve">             </w:t>
      </w:r>
      <w:r>
        <w:rPr/>
        <w:t>(наименования субъекта Российской Федерации, района, города,</w:t>
      </w:r>
    </w:p>
    <w:p>
      <w:pPr>
        <w:pStyle w:val="style35"/>
        <w:spacing w:after="283" w:before="0"/>
        <w:contextualSpacing w:val="false"/>
        <w:rPr/>
      </w:pPr>
      <w:r>
        <w:rPr/>
        <w:t xml:space="preserve">               </w:t>
      </w:r>
      <w:r>
        <w:rPr/>
        <w:t>иного населенного пункта, где находится место жительства)</w:t>
      </w:r>
    </w:p>
    <w:tbl>
      <w:tblPr>
        <w:jc w:val="left"/>
        <w:tblInd w:type="dxa" w:w="0"/>
        <w:tblBorders>
          <w:top w:val="nil"/>
          <w:left w:val="nil"/>
          <w:bottom w:val="nil"/>
          <w:insideH w:val="nil"/>
          <w:right w:val="nil"/>
          <w:insideV w:val="nil"/>
        </w:tblBorders>
        <w:tblCellMar>
          <w:top w:type="dxa" w:w="0"/>
          <w:left w:type="dxa" w:w="0"/>
          <w:bottom w:type="dxa" w:w="0"/>
          <w:right w:type="dxa" w:w="0"/>
        </w:tblCellMar>
      </w:tblPr>
      <w:tblGrid>
        <w:gridCol w:w="641"/>
        <w:gridCol w:w="1230"/>
        <w:gridCol w:w="2211"/>
        <w:gridCol w:w="1443"/>
        <w:gridCol w:w="1550"/>
        <w:gridCol w:w="1192"/>
        <w:gridCol w:w="1145"/>
      </w:tblGrid>
      <w:tr>
        <w:trPr>
          <w:cantSplit w:val="false"/>
        </w:trPr>
        <w:tc>
          <w:tcPr>
            <w:tcW w:type="dxa" w:w="641"/>
            <w:tcBorders>
              <w:top w:val="nil"/>
              <w:left w:val="nil"/>
              <w:bottom w:val="nil"/>
              <w:right w:val="nil"/>
            </w:tcBorders>
            <w:shd w:fill="auto" w:val="clear"/>
          </w:tcPr>
          <w:p>
            <w:pPr>
              <w:pStyle w:val="style40"/>
              <w:spacing w:after="40" w:before="0"/>
              <w:contextualSpacing w:val="false"/>
              <w:jc w:val="left"/>
              <w:rPr/>
            </w:pPr>
            <w:r>
              <w:rPr/>
              <w:t xml:space="preserve">№ </w:t>
            </w:r>
            <w:r>
              <w:rPr/>
              <w:t>N</w:t>
              <w:br/>
              <w:t>п/п</w:t>
            </w:r>
          </w:p>
        </w:tc>
        <w:tc>
          <w:tcPr>
            <w:tcW w:type="dxa" w:w="1230"/>
            <w:tcBorders>
              <w:top w:val="nil"/>
              <w:left w:val="nil"/>
              <w:bottom w:val="nil"/>
              <w:right w:val="nil"/>
            </w:tcBorders>
            <w:shd w:fill="auto" w:val="clear"/>
          </w:tcPr>
          <w:p>
            <w:pPr>
              <w:pStyle w:val="style40"/>
              <w:spacing w:after="40" w:before="0"/>
              <w:contextualSpacing w:val="false"/>
              <w:jc w:val="left"/>
              <w:rPr/>
            </w:pPr>
            <w:r>
              <w:rPr/>
              <w:t>Фамилия, имя, отчество</w:t>
            </w:r>
          </w:p>
        </w:tc>
        <w:tc>
          <w:tcPr>
            <w:tcW w:type="dxa" w:w="2211"/>
            <w:tcBorders>
              <w:top w:val="nil"/>
              <w:left w:val="nil"/>
              <w:bottom w:val="nil"/>
              <w:right w:val="nil"/>
            </w:tcBorders>
            <w:shd w:fill="auto" w:val="clear"/>
          </w:tcPr>
          <w:p>
            <w:pPr>
              <w:pStyle w:val="style40"/>
              <w:spacing w:after="40" w:before="0"/>
              <w:contextualSpacing w:val="false"/>
              <w:jc w:val="left"/>
              <w:rPr/>
            </w:pPr>
            <w:r>
              <w:rPr/>
              <w:t>Год рождения (в возрасте 18 лет — дополнительно число и месяц рождения)</w:t>
            </w:r>
          </w:p>
        </w:tc>
        <w:tc>
          <w:tcPr>
            <w:tcW w:type="dxa" w:w="1443"/>
            <w:tcBorders>
              <w:top w:val="nil"/>
              <w:left w:val="nil"/>
              <w:bottom w:val="nil"/>
              <w:right w:val="nil"/>
            </w:tcBorders>
            <w:shd w:fill="auto" w:val="clear"/>
          </w:tcPr>
          <w:p>
            <w:pPr>
              <w:pStyle w:val="style40"/>
              <w:spacing w:after="40" w:before="0"/>
              <w:contextualSpacing w:val="false"/>
              <w:jc w:val="left"/>
              <w:rPr/>
            </w:pPr>
            <w:r>
              <w:rPr/>
              <w:t>Адрес места жительства</w:t>
            </w:r>
          </w:p>
        </w:tc>
        <w:tc>
          <w:tcPr>
            <w:tcW w:type="dxa" w:w="1550"/>
            <w:tcBorders>
              <w:top w:val="nil"/>
              <w:left w:val="nil"/>
              <w:bottom w:val="nil"/>
              <w:right w:val="nil"/>
            </w:tcBorders>
            <w:shd w:fill="auto" w:val="clear"/>
          </w:tcPr>
          <w:p>
            <w:pPr>
              <w:pStyle w:val="style40"/>
              <w:spacing w:after="40" w:before="0"/>
              <w:contextualSpacing w:val="false"/>
              <w:jc w:val="left"/>
              <w:rPr/>
            </w:pPr>
            <w:r>
              <w:rPr/>
              <w:t>Серия и номер паспорта или документа, заменяющего паспорт гражданина</w:t>
            </w:r>
          </w:p>
        </w:tc>
        <w:tc>
          <w:tcPr>
            <w:tcW w:type="dxa" w:w="1192"/>
            <w:tcBorders>
              <w:top w:val="nil"/>
              <w:left w:val="nil"/>
              <w:bottom w:val="nil"/>
              <w:right w:val="nil"/>
            </w:tcBorders>
            <w:shd w:fill="auto" w:val="clear"/>
          </w:tcPr>
          <w:p>
            <w:pPr>
              <w:pStyle w:val="style40"/>
              <w:spacing w:after="40" w:before="0"/>
              <w:contextualSpacing w:val="false"/>
              <w:jc w:val="left"/>
              <w:rPr/>
            </w:pPr>
            <w:r>
              <w:rPr/>
              <w:t>Дата внесения подписи</w:t>
            </w:r>
          </w:p>
        </w:tc>
        <w:tc>
          <w:tcPr>
            <w:tcW w:type="dxa" w:w="1145"/>
            <w:tcBorders>
              <w:top w:val="nil"/>
              <w:left w:val="nil"/>
              <w:bottom w:val="nil"/>
              <w:right w:val="nil"/>
            </w:tcBorders>
            <w:shd w:fill="auto" w:val="clear"/>
          </w:tcPr>
          <w:p>
            <w:pPr>
              <w:pStyle w:val="style40"/>
              <w:spacing w:after="40" w:before="0"/>
              <w:contextualSpacing w:val="false"/>
              <w:jc w:val="left"/>
              <w:rPr/>
            </w:pPr>
            <w:r>
              <w:rPr/>
              <w:t>Подпись</w:t>
            </w:r>
          </w:p>
        </w:tc>
      </w:tr>
      <w:tr>
        <w:trPr>
          <w:cantSplit w:val="false"/>
        </w:trPr>
        <w:tc>
          <w:tcPr>
            <w:tcW w:type="dxa" w:w="641"/>
            <w:tcBorders>
              <w:top w:val="nil"/>
              <w:left w:val="nil"/>
              <w:bottom w:val="nil"/>
              <w:right w:val="nil"/>
            </w:tcBorders>
            <w:shd w:fill="auto" w:val="clear"/>
          </w:tcPr>
          <w:p>
            <w:pPr>
              <w:pStyle w:val="style40"/>
              <w:spacing w:after="40" w:before="0"/>
              <w:contextualSpacing w:val="false"/>
              <w:jc w:val="left"/>
              <w:rPr/>
            </w:pPr>
            <w:r>
              <w:rPr/>
              <w:t>1.</w:t>
            </w:r>
          </w:p>
        </w:tc>
        <w:tc>
          <w:tcPr>
            <w:tcW w:type="dxa" w:w="1230"/>
            <w:tcBorders>
              <w:top w:val="nil"/>
              <w:left w:val="nil"/>
              <w:bottom w:val="nil"/>
              <w:right w:val="nil"/>
            </w:tcBorders>
            <w:shd w:fill="auto" w:val="clear"/>
          </w:tcPr>
          <w:p>
            <w:pPr>
              <w:pStyle w:val="style28"/>
              <w:rPr/>
            </w:pPr>
            <w:r>
              <w:rPr/>
              <w:br/>
              <w:t> </w:t>
            </w:r>
          </w:p>
        </w:tc>
        <w:tc>
          <w:tcPr>
            <w:tcW w:type="dxa" w:w="2211"/>
            <w:tcBorders>
              <w:top w:val="nil"/>
              <w:left w:val="nil"/>
              <w:bottom w:val="nil"/>
              <w:right w:val="nil"/>
            </w:tcBorders>
            <w:shd w:fill="auto" w:val="clear"/>
          </w:tcPr>
          <w:p>
            <w:pPr>
              <w:pStyle w:val="style28"/>
              <w:rPr/>
            </w:pPr>
            <w:r>
              <w:rPr/>
              <w:br/>
              <w:t> </w:t>
            </w:r>
          </w:p>
        </w:tc>
        <w:tc>
          <w:tcPr>
            <w:tcW w:type="dxa" w:w="1443"/>
            <w:tcBorders>
              <w:top w:val="nil"/>
              <w:left w:val="nil"/>
              <w:bottom w:val="nil"/>
              <w:right w:val="nil"/>
            </w:tcBorders>
            <w:shd w:fill="auto" w:val="clear"/>
          </w:tcPr>
          <w:p>
            <w:pPr>
              <w:pStyle w:val="style28"/>
              <w:rPr/>
            </w:pPr>
            <w:r>
              <w:rPr/>
              <w:br/>
              <w:t> </w:t>
            </w:r>
          </w:p>
        </w:tc>
        <w:tc>
          <w:tcPr>
            <w:tcW w:type="dxa" w:w="1550"/>
            <w:tcBorders>
              <w:top w:val="nil"/>
              <w:left w:val="nil"/>
              <w:bottom w:val="nil"/>
              <w:right w:val="nil"/>
            </w:tcBorders>
            <w:shd w:fill="auto" w:val="clear"/>
          </w:tcPr>
          <w:p>
            <w:pPr>
              <w:pStyle w:val="style28"/>
              <w:rPr/>
            </w:pPr>
            <w:r>
              <w:rPr/>
              <w:br/>
              <w:t> </w:t>
            </w:r>
          </w:p>
        </w:tc>
        <w:tc>
          <w:tcPr>
            <w:tcW w:type="dxa" w:w="1192"/>
            <w:tcBorders>
              <w:top w:val="nil"/>
              <w:left w:val="nil"/>
              <w:bottom w:val="nil"/>
              <w:right w:val="nil"/>
            </w:tcBorders>
            <w:shd w:fill="auto" w:val="clear"/>
          </w:tcPr>
          <w:p>
            <w:pPr>
              <w:pStyle w:val="style28"/>
              <w:rPr/>
            </w:pPr>
            <w:r>
              <w:rPr/>
              <w:br/>
              <w:t> </w:t>
            </w:r>
          </w:p>
        </w:tc>
        <w:tc>
          <w:tcPr>
            <w:tcW w:type="dxa" w:w="1145"/>
            <w:tcBorders>
              <w:top w:val="nil"/>
              <w:left w:val="nil"/>
              <w:bottom w:val="nil"/>
              <w:right w:val="nil"/>
            </w:tcBorders>
            <w:shd w:fill="auto" w:val="clear"/>
          </w:tcPr>
          <w:p>
            <w:pPr>
              <w:pStyle w:val="style28"/>
              <w:rPr/>
            </w:pPr>
            <w:r>
              <w:rPr/>
              <w:br/>
              <w:t> </w:t>
            </w:r>
          </w:p>
        </w:tc>
      </w:tr>
      <w:tr>
        <w:trPr>
          <w:cantSplit w:val="false"/>
        </w:trPr>
        <w:tc>
          <w:tcPr>
            <w:tcW w:type="dxa" w:w="641"/>
            <w:tcBorders>
              <w:top w:val="nil"/>
              <w:left w:val="nil"/>
              <w:bottom w:val="nil"/>
              <w:right w:val="nil"/>
            </w:tcBorders>
            <w:shd w:fill="auto" w:val="clear"/>
          </w:tcPr>
          <w:p>
            <w:pPr>
              <w:pStyle w:val="style40"/>
              <w:spacing w:after="40" w:before="0"/>
              <w:contextualSpacing w:val="false"/>
              <w:jc w:val="left"/>
              <w:rPr/>
            </w:pPr>
            <w:r>
              <w:rPr/>
              <w:t>2.</w:t>
            </w:r>
          </w:p>
        </w:tc>
        <w:tc>
          <w:tcPr>
            <w:tcW w:type="dxa" w:w="1230"/>
            <w:tcBorders>
              <w:top w:val="nil"/>
              <w:left w:val="nil"/>
              <w:bottom w:val="nil"/>
              <w:right w:val="nil"/>
            </w:tcBorders>
            <w:shd w:fill="auto" w:val="clear"/>
          </w:tcPr>
          <w:p>
            <w:pPr>
              <w:pStyle w:val="style28"/>
              <w:rPr/>
            </w:pPr>
            <w:r>
              <w:rPr/>
              <w:br/>
              <w:t> </w:t>
            </w:r>
          </w:p>
        </w:tc>
        <w:tc>
          <w:tcPr>
            <w:tcW w:type="dxa" w:w="2211"/>
            <w:tcBorders>
              <w:top w:val="nil"/>
              <w:left w:val="nil"/>
              <w:bottom w:val="nil"/>
              <w:right w:val="nil"/>
            </w:tcBorders>
            <w:shd w:fill="auto" w:val="clear"/>
          </w:tcPr>
          <w:p>
            <w:pPr>
              <w:pStyle w:val="style28"/>
              <w:rPr/>
            </w:pPr>
            <w:r>
              <w:rPr/>
              <w:br/>
              <w:t> </w:t>
            </w:r>
          </w:p>
        </w:tc>
        <w:tc>
          <w:tcPr>
            <w:tcW w:type="dxa" w:w="1443"/>
            <w:tcBorders>
              <w:top w:val="nil"/>
              <w:left w:val="nil"/>
              <w:bottom w:val="nil"/>
              <w:right w:val="nil"/>
            </w:tcBorders>
            <w:shd w:fill="auto" w:val="clear"/>
          </w:tcPr>
          <w:p>
            <w:pPr>
              <w:pStyle w:val="style28"/>
              <w:rPr/>
            </w:pPr>
            <w:r>
              <w:rPr/>
              <w:br/>
              <w:t> </w:t>
            </w:r>
          </w:p>
        </w:tc>
        <w:tc>
          <w:tcPr>
            <w:tcW w:type="dxa" w:w="1550"/>
            <w:tcBorders>
              <w:top w:val="nil"/>
              <w:left w:val="nil"/>
              <w:bottom w:val="nil"/>
              <w:right w:val="nil"/>
            </w:tcBorders>
            <w:shd w:fill="auto" w:val="clear"/>
          </w:tcPr>
          <w:p>
            <w:pPr>
              <w:pStyle w:val="style28"/>
              <w:rPr/>
            </w:pPr>
            <w:r>
              <w:rPr/>
              <w:br/>
              <w:t> </w:t>
            </w:r>
          </w:p>
        </w:tc>
        <w:tc>
          <w:tcPr>
            <w:tcW w:type="dxa" w:w="1192"/>
            <w:tcBorders>
              <w:top w:val="nil"/>
              <w:left w:val="nil"/>
              <w:bottom w:val="nil"/>
              <w:right w:val="nil"/>
            </w:tcBorders>
            <w:shd w:fill="auto" w:val="clear"/>
          </w:tcPr>
          <w:p>
            <w:pPr>
              <w:pStyle w:val="style28"/>
              <w:rPr/>
            </w:pPr>
            <w:r>
              <w:rPr/>
              <w:br/>
              <w:t> </w:t>
            </w:r>
          </w:p>
        </w:tc>
        <w:tc>
          <w:tcPr>
            <w:tcW w:type="dxa" w:w="1145"/>
            <w:tcBorders>
              <w:top w:val="nil"/>
              <w:left w:val="nil"/>
              <w:bottom w:val="nil"/>
              <w:right w:val="nil"/>
            </w:tcBorders>
            <w:shd w:fill="auto" w:val="clear"/>
          </w:tcPr>
          <w:p>
            <w:pPr>
              <w:pStyle w:val="style28"/>
              <w:rPr/>
            </w:pPr>
            <w:r>
              <w:rPr/>
              <w:br/>
              <w:t> </w:t>
            </w:r>
          </w:p>
        </w:tc>
      </w:tr>
      <w:tr>
        <w:trPr>
          <w:cantSplit w:val="false"/>
        </w:trPr>
        <w:tc>
          <w:tcPr>
            <w:tcW w:type="dxa" w:w="641"/>
            <w:tcBorders>
              <w:top w:val="nil"/>
              <w:left w:val="nil"/>
              <w:bottom w:val="nil"/>
              <w:right w:val="nil"/>
            </w:tcBorders>
            <w:shd w:fill="auto" w:val="clear"/>
          </w:tcPr>
          <w:p>
            <w:pPr>
              <w:pStyle w:val="style40"/>
              <w:spacing w:after="40" w:before="0"/>
              <w:contextualSpacing w:val="false"/>
              <w:jc w:val="left"/>
              <w:rPr/>
            </w:pPr>
            <w:r>
              <w:rPr/>
              <w:t>3.</w:t>
            </w:r>
          </w:p>
        </w:tc>
        <w:tc>
          <w:tcPr>
            <w:tcW w:type="dxa" w:w="1230"/>
            <w:tcBorders>
              <w:top w:val="nil"/>
              <w:left w:val="nil"/>
              <w:bottom w:val="nil"/>
              <w:right w:val="nil"/>
            </w:tcBorders>
            <w:shd w:fill="auto" w:val="clear"/>
          </w:tcPr>
          <w:p>
            <w:pPr>
              <w:pStyle w:val="style28"/>
              <w:rPr/>
            </w:pPr>
            <w:r>
              <w:rPr/>
              <w:br/>
              <w:t> </w:t>
            </w:r>
          </w:p>
        </w:tc>
        <w:tc>
          <w:tcPr>
            <w:tcW w:type="dxa" w:w="2211"/>
            <w:tcBorders>
              <w:top w:val="nil"/>
              <w:left w:val="nil"/>
              <w:bottom w:val="nil"/>
              <w:right w:val="nil"/>
            </w:tcBorders>
            <w:shd w:fill="auto" w:val="clear"/>
          </w:tcPr>
          <w:p>
            <w:pPr>
              <w:pStyle w:val="style28"/>
              <w:rPr/>
            </w:pPr>
            <w:r>
              <w:rPr/>
              <w:br/>
              <w:t> </w:t>
            </w:r>
          </w:p>
        </w:tc>
        <w:tc>
          <w:tcPr>
            <w:tcW w:type="dxa" w:w="1443"/>
            <w:tcBorders>
              <w:top w:val="nil"/>
              <w:left w:val="nil"/>
              <w:bottom w:val="nil"/>
              <w:right w:val="nil"/>
            </w:tcBorders>
            <w:shd w:fill="auto" w:val="clear"/>
          </w:tcPr>
          <w:p>
            <w:pPr>
              <w:pStyle w:val="style28"/>
              <w:rPr/>
            </w:pPr>
            <w:r>
              <w:rPr/>
              <w:br/>
              <w:t> </w:t>
            </w:r>
          </w:p>
        </w:tc>
        <w:tc>
          <w:tcPr>
            <w:tcW w:type="dxa" w:w="1550"/>
            <w:tcBorders>
              <w:top w:val="nil"/>
              <w:left w:val="nil"/>
              <w:bottom w:val="nil"/>
              <w:right w:val="nil"/>
            </w:tcBorders>
            <w:shd w:fill="auto" w:val="clear"/>
          </w:tcPr>
          <w:p>
            <w:pPr>
              <w:pStyle w:val="style28"/>
              <w:rPr/>
            </w:pPr>
            <w:r>
              <w:rPr/>
              <w:br/>
              <w:t> </w:t>
            </w:r>
          </w:p>
        </w:tc>
        <w:tc>
          <w:tcPr>
            <w:tcW w:type="dxa" w:w="1192"/>
            <w:tcBorders>
              <w:top w:val="nil"/>
              <w:left w:val="nil"/>
              <w:bottom w:val="nil"/>
              <w:right w:val="nil"/>
            </w:tcBorders>
            <w:shd w:fill="auto" w:val="clear"/>
          </w:tcPr>
          <w:p>
            <w:pPr>
              <w:pStyle w:val="style28"/>
              <w:rPr/>
            </w:pPr>
            <w:r>
              <w:rPr/>
              <w:br/>
              <w:t> </w:t>
            </w:r>
          </w:p>
        </w:tc>
        <w:tc>
          <w:tcPr>
            <w:tcW w:type="dxa" w:w="1145"/>
            <w:tcBorders>
              <w:top w:val="nil"/>
              <w:left w:val="nil"/>
              <w:bottom w:val="nil"/>
              <w:right w:val="nil"/>
            </w:tcBorders>
            <w:shd w:fill="auto" w:val="clear"/>
          </w:tcPr>
          <w:p>
            <w:pPr>
              <w:pStyle w:val="style28"/>
              <w:rPr/>
            </w:pPr>
            <w:r>
              <w:rPr/>
              <w:br/>
              <w:t> </w:t>
            </w:r>
          </w:p>
        </w:tc>
      </w:tr>
      <w:tr>
        <w:trPr>
          <w:cantSplit w:val="false"/>
        </w:trPr>
        <w:tc>
          <w:tcPr>
            <w:tcW w:type="dxa" w:w="641"/>
            <w:tcBorders>
              <w:top w:val="nil"/>
              <w:left w:val="nil"/>
              <w:bottom w:val="nil"/>
              <w:right w:val="nil"/>
            </w:tcBorders>
            <w:shd w:fill="auto" w:val="clear"/>
          </w:tcPr>
          <w:p>
            <w:pPr>
              <w:pStyle w:val="style40"/>
              <w:spacing w:after="40" w:before="0"/>
              <w:contextualSpacing w:val="false"/>
              <w:jc w:val="left"/>
              <w:rPr/>
            </w:pPr>
            <w:r>
              <w:rPr/>
              <w:t>4.</w:t>
            </w:r>
          </w:p>
        </w:tc>
        <w:tc>
          <w:tcPr>
            <w:tcW w:type="dxa" w:w="1230"/>
            <w:tcBorders>
              <w:top w:val="nil"/>
              <w:left w:val="nil"/>
              <w:bottom w:val="nil"/>
              <w:right w:val="nil"/>
            </w:tcBorders>
            <w:shd w:fill="auto" w:val="clear"/>
          </w:tcPr>
          <w:p>
            <w:pPr>
              <w:pStyle w:val="style28"/>
              <w:rPr/>
            </w:pPr>
            <w:r>
              <w:rPr/>
              <w:br/>
              <w:t> </w:t>
            </w:r>
          </w:p>
        </w:tc>
        <w:tc>
          <w:tcPr>
            <w:tcW w:type="dxa" w:w="2211"/>
            <w:tcBorders>
              <w:top w:val="nil"/>
              <w:left w:val="nil"/>
              <w:bottom w:val="nil"/>
              <w:right w:val="nil"/>
            </w:tcBorders>
            <w:shd w:fill="auto" w:val="clear"/>
          </w:tcPr>
          <w:p>
            <w:pPr>
              <w:pStyle w:val="style28"/>
              <w:rPr/>
            </w:pPr>
            <w:r>
              <w:rPr/>
              <w:br/>
              <w:t> </w:t>
            </w:r>
          </w:p>
        </w:tc>
        <w:tc>
          <w:tcPr>
            <w:tcW w:type="dxa" w:w="1443"/>
            <w:tcBorders>
              <w:top w:val="nil"/>
              <w:left w:val="nil"/>
              <w:bottom w:val="nil"/>
              <w:right w:val="nil"/>
            </w:tcBorders>
            <w:shd w:fill="auto" w:val="clear"/>
          </w:tcPr>
          <w:p>
            <w:pPr>
              <w:pStyle w:val="style28"/>
              <w:rPr/>
            </w:pPr>
            <w:r>
              <w:rPr/>
              <w:br/>
              <w:t> </w:t>
            </w:r>
          </w:p>
        </w:tc>
        <w:tc>
          <w:tcPr>
            <w:tcW w:type="dxa" w:w="1550"/>
            <w:tcBorders>
              <w:top w:val="nil"/>
              <w:left w:val="nil"/>
              <w:bottom w:val="nil"/>
              <w:right w:val="nil"/>
            </w:tcBorders>
            <w:shd w:fill="auto" w:val="clear"/>
          </w:tcPr>
          <w:p>
            <w:pPr>
              <w:pStyle w:val="style28"/>
              <w:rPr/>
            </w:pPr>
            <w:r>
              <w:rPr/>
              <w:br/>
              <w:t> </w:t>
            </w:r>
          </w:p>
        </w:tc>
        <w:tc>
          <w:tcPr>
            <w:tcW w:type="dxa" w:w="1192"/>
            <w:tcBorders>
              <w:top w:val="nil"/>
              <w:left w:val="nil"/>
              <w:bottom w:val="nil"/>
              <w:right w:val="nil"/>
            </w:tcBorders>
            <w:shd w:fill="auto" w:val="clear"/>
          </w:tcPr>
          <w:p>
            <w:pPr>
              <w:pStyle w:val="style28"/>
              <w:rPr/>
            </w:pPr>
            <w:r>
              <w:rPr/>
              <w:br/>
              <w:t> </w:t>
            </w:r>
          </w:p>
        </w:tc>
        <w:tc>
          <w:tcPr>
            <w:tcW w:type="dxa" w:w="1145"/>
            <w:tcBorders>
              <w:top w:val="nil"/>
              <w:left w:val="nil"/>
              <w:bottom w:val="nil"/>
              <w:right w:val="nil"/>
            </w:tcBorders>
            <w:shd w:fill="auto" w:val="clear"/>
          </w:tcPr>
          <w:p>
            <w:pPr>
              <w:pStyle w:val="style28"/>
              <w:rPr/>
            </w:pPr>
            <w:r>
              <w:rPr/>
              <w:br/>
              <w:t> </w:t>
            </w:r>
          </w:p>
        </w:tc>
      </w:tr>
      <w:tr>
        <w:trPr>
          <w:cantSplit w:val="false"/>
        </w:trPr>
        <w:tc>
          <w:tcPr>
            <w:tcW w:type="dxa" w:w="641"/>
            <w:tcBorders>
              <w:top w:val="nil"/>
              <w:left w:val="nil"/>
              <w:bottom w:val="nil"/>
              <w:right w:val="nil"/>
            </w:tcBorders>
            <w:shd w:fill="auto" w:val="clear"/>
          </w:tcPr>
          <w:p>
            <w:pPr>
              <w:pStyle w:val="style40"/>
              <w:spacing w:after="40" w:before="0"/>
              <w:contextualSpacing w:val="false"/>
              <w:jc w:val="left"/>
              <w:rPr/>
            </w:pPr>
            <w:r>
              <w:rPr/>
              <w:t>...</w:t>
            </w:r>
          </w:p>
        </w:tc>
        <w:tc>
          <w:tcPr>
            <w:tcW w:type="dxa" w:w="1230"/>
            <w:tcBorders>
              <w:top w:val="nil"/>
              <w:left w:val="nil"/>
              <w:bottom w:val="nil"/>
              <w:right w:val="nil"/>
            </w:tcBorders>
            <w:shd w:fill="auto" w:val="clear"/>
          </w:tcPr>
          <w:p>
            <w:pPr>
              <w:pStyle w:val="style28"/>
              <w:rPr/>
            </w:pPr>
            <w:r>
              <w:rPr/>
              <w:br/>
              <w:t> </w:t>
            </w:r>
          </w:p>
        </w:tc>
        <w:tc>
          <w:tcPr>
            <w:tcW w:type="dxa" w:w="2211"/>
            <w:tcBorders>
              <w:top w:val="nil"/>
              <w:left w:val="nil"/>
              <w:bottom w:val="nil"/>
              <w:right w:val="nil"/>
            </w:tcBorders>
            <w:shd w:fill="auto" w:val="clear"/>
          </w:tcPr>
          <w:p>
            <w:pPr>
              <w:pStyle w:val="style28"/>
              <w:rPr/>
            </w:pPr>
            <w:r>
              <w:rPr/>
              <w:br/>
              <w:t> </w:t>
            </w:r>
          </w:p>
        </w:tc>
        <w:tc>
          <w:tcPr>
            <w:tcW w:type="dxa" w:w="1443"/>
            <w:tcBorders>
              <w:top w:val="nil"/>
              <w:left w:val="nil"/>
              <w:bottom w:val="nil"/>
              <w:right w:val="nil"/>
            </w:tcBorders>
            <w:shd w:fill="auto" w:val="clear"/>
          </w:tcPr>
          <w:p>
            <w:pPr>
              <w:pStyle w:val="style28"/>
              <w:rPr/>
            </w:pPr>
            <w:r>
              <w:rPr/>
              <w:br/>
              <w:t> </w:t>
            </w:r>
          </w:p>
        </w:tc>
        <w:tc>
          <w:tcPr>
            <w:tcW w:type="dxa" w:w="1550"/>
            <w:tcBorders>
              <w:top w:val="nil"/>
              <w:left w:val="nil"/>
              <w:bottom w:val="nil"/>
              <w:right w:val="nil"/>
            </w:tcBorders>
            <w:shd w:fill="auto" w:val="clear"/>
          </w:tcPr>
          <w:p>
            <w:pPr>
              <w:pStyle w:val="style28"/>
              <w:rPr/>
            </w:pPr>
            <w:r>
              <w:rPr/>
              <w:br/>
              <w:t> </w:t>
            </w:r>
          </w:p>
        </w:tc>
        <w:tc>
          <w:tcPr>
            <w:tcW w:type="dxa" w:w="1192"/>
            <w:tcBorders>
              <w:top w:val="nil"/>
              <w:left w:val="nil"/>
              <w:bottom w:val="nil"/>
              <w:right w:val="nil"/>
            </w:tcBorders>
            <w:shd w:fill="auto" w:val="clear"/>
          </w:tcPr>
          <w:p>
            <w:pPr>
              <w:pStyle w:val="style28"/>
              <w:rPr/>
            </w:pPr>
            <w:r>
              <w:rPr/>
              <w:br/>
              <w:t> </w:t>
            </w:r>
          </w:p>
        </w:tc>
        <w:tc>
          <w:tcPr>
            <w:tcW w:type="dxa" w:w="1145"/>
            <w:tcBorders>
              <w:top w:val="nil"/>
              <w:left w:val="nil"/>
              <w:bottom w:val="nil"/>
              <w:right w:val="nil"/>
            </w:tcBorders>
            <w:shd w:fill="auto" w:val="clear"/>
          </w:tcPr>
          <w:p>
            <w:pPr>
              <w:pStyle w:val="style28"/>
              <w:rPr/>
            </w:pPr>
            <w:r>
              <w:rPr/>
              <w:br/>
              <w:t> </w:t>
            </w:r>
          </w:p>
        </w:tc>
      </w:tr>
    </w:tbl>
    <w:p>
      <w:pPr>
        <w:pStyle w:val="style35"/>
        <w:spacing w:after="283" w:before="0"/>
        <w:contextualSpacing w:val="false"/>
        <w:rPr/>
      </w:pPr>
      <w:r>
        <w:rPr/>
        <w:t>Подписной лист удостоверяю: _____________________________________________</w:t>
      </w:r>
    </w:p>
    <w:p>
      <w:pPr>
        <w:pStyle w:val="style35"/>
        <w:spacing w:after="283" w:before="0"/>
        <w:contextualSpacing w:val="false"/>
        <w:rPr/>
      </w:pPr>
      <w:r>
        <w:rPr/>
        <w:t>_________________________________________________________________________</w:t>
      </w:r>
    </w:p>
    <w:p>
      <w:pPr>
        <w:pStyle w:val="style35"/>
        <w:spacing w:after="283" w:before="0"/>
        <w:contextualSpacing w:val="false"/>
        <w:rPr/>
      </w:pPr>
      <w:r>
        <w:rPr/>
        <w:t xml:space="preserve"> </w:t>
      </w:r>
      <w:r>
        <w:rPr/>
        <w:t>(фамилия, имя, отчество, адрес места жительства, серия и номер паспорта</w:t>
      </w:r>
    </w:p>
    <w:p>
      <w:pPr>
        <w:pStyle w:val="style35"/>
        <w:spacing w:after="283" w:before="0"/>
        <w:contextualSpacing w:val="false"/>
        <w:rPr/>
      </w:pPr>
      <w:r>
        <w:rPr/>
        <w:t xml:space="preserve">   </w:t>
      </w:r>
      <w:r>
        <w:rPr/>
        <w:t>или документа, заменяющего паспорт гражданина, с указанием даты его</w:t>
      </w:r>
    </w:p>
    <w:p>
      <w:pPr>
        <w:pStyle w:val="style35"/>
        <w:spacing w:after="283" w:before="0"/>
        <w:contextualSpacing w:val="false"/>
        <w:rPr/>
      </w:pPr>
      <w:r>
        <w:rPr/>
        <w:t xml:space="preserve">    </w:t>
      </w:r>
      <w:r>
        <w:rPr/>
        <w:t>выдачи, наименования или кода выдавшего его органа, подпись лица,</w:t>
      </w:r>
    </w:p>
    <w:p>
      <w:pPr>
        <w:pStyle w:val="style35"/>
        <w:spacing w:after="283" w:before="0"/>
        <w:contextualSpacing w:val="false"/>
        <w:rPr/>
      </w:pPr>
      <w:r>
        <w:rPr/>
        <w:t xml:space="preserve">            </w:t>
      </w:r>
      <w:r>
        <w:rPr/>
        <w:t>осуществлявшего сбор подписей, и дата ее внесения)</w:t>
      </w:r>
    </w:p>
    <w:p>
      <w:pPr>
        <w:pStyle w:val="style35"/>
        <w:spacing w:after="283" w:before="0"/>
        <w:contextualSpacing w:val="false"/>
        <w:rPr/>
      </w:pPr>
      <w:r>
        <w:rPr/>
        <w:t>Кандидат ________________________________________________________________</w:t>
      </w:r>
    </w:p>
    <w:p>
      <w:pPr>
        <w:pStyle w:val="style35"/>
        <w:spacing w:after="283" w:before="0"/>
        <w:contextualSpacing w:val="false"/>
        <w:rPr/>
      </w:pPr>
      <w:r>
        <w:rPr/>
        <w:t>_________________________________________________________________________</w:t>
      </w:r>
    </w:p>
    <w:p>
      <w:pPr>
        <w:pStyle w:val="style35"/>
        <w:spacing w:after="283" w:before="0"/>
        <w:contextualSpacing w:val="false"/>
        <w:rPr/>
      </w:pPr>
      <w:r>
        <w:rPr/>
        <w:t xml:space="preserve">          </w:t>
      </w:r>
      <w:r>
        <w:rPr/>
        <w:t>(фамилия, имя, отчество, подпись и дата ее внесения)</w:t>
      </w:r>
    </w:p>
    <w:p>
      <w:pPr>
        <w:pStyle w:val="style35"/>
        <w:spacing w:after="283" w:before="0"/>
        <w:contextualSpacing w:val="false"/>
        <w:rPr/>
      </w:pPr>
      <w:r>
        <w:rPr>
          <w:rStyle w:val="style18"/>
        </w:rPr>
        <w:t>Примечание.</w:t>
      </w:r>
      <w:r>
        <w:rPr/>
        <w:t xml:space="preserve"> В случае наличия у  кандидата,  данные которого указываются в</w:t>
      </w:r>
    </w:p>
    <w:p>
      <w:pPr>
        <w:pStyle w:val="style35"/>
        <w:spacing w:after="283" w:before="0"/>
        <w:contextualSpacing w:val="false"/>
        <w:rPr/>
      </w:pPr>
      <w:r>
        <w:rPr/>
        <w:t>подписном листе,  неснятой  и  непогашенной  судимости  в подписном листе</w:t>
      </w:r>
    </w:p>
    <w:p>
      <w:pPr>
        <w:pStyle w:val="style35"/>
        <w:spacing w:after="283" w:before="0"/>
        <w:contextualSpacing w:val="false"/>
        <w:rPr/>
      </w:pPr>
      <w:r>
        <w:rPr/>
        <w:t>после отчества кандидата указываются сведения о судимости кандидата. Если</w:t>
      </w:r>
    </w:p>
    <w:p>
      <w:pPr>
        <w:pStyle w:val="style35"/>
        <w:spacing w:after="283" w:before="0"/>
        <w:contextualSpacing w:val="false"/>
        <w:rPr/>
      </w:pPr>
      <w:r>
        <w:rPr/>
        <w:t>кандидат, сведения о  котором содержатся в подписном листе, в заявлении о</w:t>
      </w:r>
    </w:p>
    <w:p>
      <w:pPr>
        <w:pStyle w:val="style35"/>
        <w:spacing w:after="283" w:before="0"/>
        <w:contextualSpacing w:val="false"/>
        <w:rPr/>
      </w:pPr>
      <w:r>
        <w:rPr/>
        <w:t>согласии   баллотироваться  в   соответствии  с   пунктом  2   статьи  33</w:t>
      </w:r>
    </w:p>
    <w:p>
      <w:pPr>
        <w:pStyle w:val="style35"/>
        <w:spacing w:after="283" w:before="0"/>
        <w:contextualSpacing w:val="false"/>
        <w:rPr/>
      </w:pPr>
      <w:r>
        <w:rPr/>
        <w:t>Федерального закона «Об основных гарантиях избирательных  прав и права на</w:t>
      </w:r>
    </w:p>
    <w:p>
      <w:pPr>
        <w:pStyle w:val="style35"/>
        <w:spacing w:after="283" w:before="0"/>
        <w:contextualSpacing w:val="false"/>
        <w:rPr/>
      </w:pPr>
      <w:r>
        <w:rPr/>
        <w:t>участие  в  референдуме  граждан   Российской  Федерации»   указал   свою</w:t>
      </w:r>
    </w:p>
    <w:p>
      <w:pPr>
        <w:pStyle w:val="style35"/>
        <w:spacing w:after="283" w:before="0"/>
        <w:contextualSpacing w:val="false"/>
        <w:rPr/>
      </w:pPr>
      <w:r>
        <w:rPr/>
        <w:t>принадлежность к политической партии либо иному общественному объединению</w:t>
      </w:r>
    </w:p>
    <w:p>
      <w:pPr>
        <w:pStyle w:val="style35"/>
        <w:spacing w:after="283" w:before="0"/>
        <w:contextualSpacing w:val="false"/>
        <w:rPr/>
      </w:pPr>
      <w:r>
        <w:rPr/>
        <w:t>и свой статус в данной  политической   партии  либо  данном  общественном</w:t>
      </w:r>
    </w:p>
    <w:p>
      <w:pPr>
        <w:pStyle w:val="style35"/>
        <w:spacing w:after="283" w:before="0"/>
        <w:contextualSpacing w:val="false"/>
        <w:rPr/>
      </w:pPr>
      <w:r>
        <w:rPr/>
        <w:t>объединении, сведения об этом указываются в подписном листе после</w:t>
      </w:r>
    </w:p>
    <w:p>
      <w:pPr>
        <w:pStyle w:val="style35"/>
        <w:spacing w:after="283" w:before="0"/>
        <w:contextualSpacing w:val="false"/>
        <w:rPr/>
      </w:pPr>
      <w:r>
        <w:rPr/>
        <w:t>сведений о месте жительства.</w:t>
      </w:r>
    </w:p>
    <w:p>
      <w:pPr>
        <w:pStyle w:val="style35"/>
        <w:spacing w:after="283" w:before="0"/>
        <w:contextualSpacing w:val="false"/>
        <w:rPr/>
      </w:pPr>
      <w:r>
        <w:rPr/>
        <w:t>______________________________</w:t>
      </w:r>
    </w:p>
    <w:p>
      <w:pPr>
        <w:pStyle w:val="style35"/>
        <w:spacing w:after="283" w:before="0"/>
        <w:contextualSpacing w:val="false"/>
        <w:rPr/>
      </w:pPr>
      <w:r>
        <w:rPr/>
        <w:t>Текст   подстрочников,  а  также   примечание  и  сноска в  изготовленном</w:t>
      </w:r>
    </w:p>
    <w:p>
      <w:pPr>
        <w:pStyle w:val="style35"/>
        <w:spacing w:after="283" w:before="0"/>
        <w:contextualSpacing w:val="false"/>
        <w:rPr/>
      </w:pPr>
      <w:r>
        <w:rPr/>
        <w:t>подписном листе могут не воспроизводиться.</w:t>
      </w:r>
    </w:p>
    <w:p>
      <w:pPr>
        <w:pStyle w:val="style47"/>
        <w:rPr/>
      </w:pPr>
      <w:bookmarkStart w:id="1102" w:name="Lbl2000"/>
      <w:bookmarkEnd w:id="1102"/>
      <w:r>
        <w:rPr/>
        <w:t>Справочник наблюдателя — www.nablawiki.ru</w:t>
      </w:r>
    </w:p>
    <w:p>
      <w:pPr>
        <w:pStyle w:val="style2"/>
        <w:rPr>
          <w:rStyle w:val="style18"/>
        </w:rPr>
      </w:pPr>
      <w:r>
        <w:rPr>
          <w:rStyle w:val="style18"/>
        </w:rPr>
        <w:t>Приложение 2</w:t>
      </w:r>
    </w:p>
    <w:p>
      <w:pPr>
        <w:pStyle w:val="style44"/>
        <w:jc w:val="right"/>
        <w:rPr>
          <w:rStyle w:val="style18"/>
        </w:rPr>
      </w:pPr>
      <w:r>
        <w:rPr>
          <w:rStyle w:val="style18"/>
        </w:rPr>
        <w:t xml:space="preserve">к </w:t>
      </w:r>
      <w:hyperlink r:id="rId6">
        <w:r>
          <w:rPr>
            <w:rStyle w:val="style18"/>
          </w:rPr>
          <w:t>Закону</w:t>
        </w:r>
      </w:hyperlink>
      <w:r>
        <w:rPr>
          <w:rStyle w:val="style18"/>
        </w:rPr>
        <w:t xml:space="preserve"> Рязанской области</w:t>
      </w:r>
    </w:p>
    <w:p>
      <w:pPr>
        <w:pStyle w:val="style44"/>
        <w:jc w:val="right"/>
        <w:rPr>
          <w:rStyle w:val="style18"/>
        </w:rPr>
      </w:pPr>
      <w:r>
        <w:rPr>
          <w:rStyle w:val="style18"/>
        </w:rPr>
        <w:t>«О выборах депутатов представительного органа</w:t>
      </w:r>
    </w:p>
    <w:p>
      <w:pPr>
        <w:pStyle w:val="style44"/>
        <w:jc w:val="right"/>
        <w:rPr>
          <w:rStyle w:val="style18"/>
        </w:rPr>
      </w:pPr>
      <w:r>
        <w:rPr>
          <w:rStyle w:val="style18"/>
        </w:rPr>
        <w:t>муниципального образования в Рязанской области»</w:t>
      </w:r>
    </w:p>
    <w:p>
      <w:pPr>
        <w:pStyle w:val="style35"/>
        <w:spacing w:after="283" w:before="0"/>
        <w:contextualSpacing w:val="false"/>
        <w:rPr>
          <w:rStyle w:val="style18"/>
        </w:rPr>
      </w:pPr>
      <w:r>
        <w:rPr>
          <w:rStyle w:val="style18"/>
        </w:rPr>
        <w:t xml:space="preserve">                             </w:t>
      </w:r>
      <w:r>
        <w:rPr>
          <w:rStyle w:val="style18"/>
        </w:rPr>
        <w:t>ПОДПИСНОЙ ЛИСТ</w:t>
      </w:r>
    </w:p>
    <w:p>
      <w:pPr>
        <w:pStyle w:val="style22"/>
        <w:rPr/>
      </w:pPr>
      <w:r>
        <w:rPr/>
        <w:t>Утратило силу.</w:t>
      </w:r>
    </w:p>
    <w:p>
      <w:pPr>
        <w:pStyle w:val="style41"/>
        <w:rPr/>
      </w:pPr>
      <w:r>
        <w:rPr/>
        <w:t>См. текст приложения</w:t>
      </w:r>
    </w:p>
    <w:p>
      <w:pPr>
        <w:pStyle w:val="style47"/>
        <w:rPr/>
      </w:pPr>
      <w:bookmarkStart w:id="1103" w:name="Lbl3000"/>
      <w:bookmarkEnd w:id="1103"/>
      <w:r>
        <w:rPr/>
        <w:t>Справочник наблюдателя — www.nablawiki.ru</w:t>
      </w:r>
    </w:p>
    <w:p>
      <w:pPr>
        <w:pStyle w:val="style2"/>
        <w:rPr>
          <w:rStyle w:val="style18"/>
        </w:rPr>
      </w:pPr>
      <w:r>
        <w:rPr>
          <w:rStyle w:val="style18"/>
        </w:rPr>
        <w:t>Приложение 3</w:t>
      </w:r>
    </w:p>
    <w:p>
      <w:pPr>
        <w:pStyle w:val="style44"/>
        <w:jc w:val="right"/>
        <w:rPr>
          <w:rStyle w:val="style18"/>
        </w:rPr>
      </w:pPr>
      <w:r>
        <w:rPr>
          <w:rStyle w:val="style18"/>
        </w:rPr>
        <w:t xml:space="preserve">к </w:t>
      </w:r>
      <w:hyperlink r:id="rId7">
        <w:r>
          <w:rPr>
            <w:rStyle w:val="style18"/>
          </w:rPr>
          <w:t>Закону</w:t>
        </w:r>
      </w:hyperlink>
      <w:r>
        <w:rPr>
          <w:rStyle w:val="style18"/>
        </w:rPr>
        <w:t xml:space="preserve"> Рязанской области</w:t>
      </w:r>
    </w:p>
    <w:p>
      <w:pPr>
        <w:pStyle w:val="style44"/>
        <w:jc w:val="right"/>
        <w:rPr>
          <w:rStyle w:val="style18"/>
        </w:rPr>
      </w:pPr>
      <w:r>
        <w:rPr>
          <w:rStyle w:val="style18"/>
        </w:rPr>
        <w:t>«О выборах депутатов представительного органа</w:t>
      </w:r>
    </w:p>
    <w:p>
      <w:pPr>
        <w:pStyle w:val="style44"/>
        <w:jc w:val="right"/>
        <w:rPr>
          <w:rStyle w:val="style18"/>
        </w:rPr>
      </w:pPr>
      <w:r>
        <w:rPr>
          <w:rStyle w:val="style18"/>
        </w:rPr>
        <w:t>муниципального образования в Рязанской области»</w:t>
      </w:r>
    </w:p>
    <w:p>
      <w:pPr>
        <w:pStyle w:val="style35"/>
        <w:spacing w:after="283" w:before="0"/>
        <w:contextualSpacing w:val="false"/>
        <w:rPr>
          <w:rStyle w:val="style18"/>
        </w:rPr>
      </w:pPr>
      <w:r>
        <w:rPr/>
        <w:t xml:space="preserve">                              </w:t>
      </w:r>
      <w:r>
        <w:rPr>
          <w:rStyle w:val="style18"/>
        </w:rPr>
        <w:t>Подписной лист</w:t>
      </w:r>
    </w:p>
    <w:p>
      <w:pPr>
        <w:pStyle w:val="style22"/>
        <w:rPr/>
      </w:pPr>
      <w:r>
        <w:rPr/>
        <w:t>Утратило силу.</w:t>
      </w:r>
    </w:p>
    <w:p>
      <w:pPr>
        <w:pStyle w:val="style41"/>
        <w:rPr/>
      </w:pPr>
      <w:r>
        <w:rPr/>
        <w:t>См. текст приложения</w:t>
      </w:r>
    </w:p>
    <w:p>
      <w:pPr>
        <w:pStyle w:val="style38"/>
        <w:rPr/>
      </w:pPr>
      <w:bookmarkStart w:id="1104" w:name="Lbl4000"/>
      <w:bookmarkEnd w:id="1104"/>
      <w:r>
        <w:rPr/>
        <w:t>См. данную форму в редакторе MS-Word</w:t>
      </w:r>
    </w:p>
    <w:p>
      <w:pPr>
        <w:pStyle w:val="style47"/>
        <w:rPr/>
      </w:pPr>
      <w:r>
        <w:rPr/>
        <w:t>Справочник наблюдателя — www.nablawiki.ru</w:t>
      </w:r>
    </w:p>
    <w:p>
      <w:pPr>
        <w:pStyle w:val="style2"/>
        <w:rPr>
          <w:rStyle w:val="style18"/>
        </w:rPr>
      </w:pPr>
      <w:r>
        <w:rPr>
          <w:rStyle w:val="style18"/>
        </w:rPr>
        <w:t>Приложение 4</w:t>
      </w:r>
    </w:p>
    <w:p>
      <w:pPr>
        <w:pStyle w:val="style44"/>
        <w:jc w:val="right"/>
        <w:rPr>
          <w:rStyle w:val="style18"/>
        </w:rPr>
      </w:pPr>
      <w:r>
        <w:rPr>
          <w:rStyle w:val="style18"/>
        </w:rPr>
        <w:t xml:space="preserve">к </w:t>
      </w:r>
      <w:hyperlink r:id="rId8">
        <w:r>
          <w:rPr>
            <w:rStyle w:val="style18"/>
          </w:rPr>
          <w:t>Закону</w:t>
        </w:r>
      </w:hyperlink>
      <w:r>
        <w:rPr>
          <w:rStyle w:val="style18"/>
        </w:rPr>
        <w:t xml:space="preserve"> Рязанской области</w:t>
      </w:r>
    </w:p>
    <w:p>
      <w:pPr>
        <w:pStyle w:val="style44"/>
        <w:jc w:val="right"/>
        <w:rPr>
          <w:rStyle w:val="style18"/>
        </w:rPr>
      </w:pPr>
      <w:r>
        <w:rPr>
          <w:rStyle w:val="style18"/>
        </w:rPr>
        <w:t>«О выборах депутатов представительного органа</w:t>
      </w:r>
    </w:p>
    <w:p>
      <w:pPr>
        <w:pStyle w:val="style44"/>
        <w:jc w:val="right"/>
        <w:rPr>
          <w:rStyle w:val="style18"/>
        </w:rPr>
      </w:pPr>
      <w:r>
        <w:rPr>
          <w:rStyle w:val="style18"/>
        </w:rPr>
        <w:t>муниципального образования в Рязанской области»</w:t>
      </w:r>
    </w:p>
    <w:p>
      <w:pPr>
        <w:pStyle w:val="style35"/>
        <w:spacing w:after="283" w:before="0"/>
        <w:contextualSpacing w:val="false"/>
        <w:rPr>
          <w:rStyle w:val="style18"/>
        </w:rPr>
      </w:pPr>
      <w:r>
        <w:rPr>
          <w:rStyle w:val="style18"/>
        </w:rPr>
        <w:t xml:space="preserve">                                        </w:t>
      </w:r>
      <w:r>
        <w:rPr>
          <w:rStyle w:val="style18"/>
        </w:rPr>
        <w:t>Сведения</w:t>
      </w:r>
    </w:p>
    <w:p>
      <w:pPr>
        <w:pStyle w:val="style35"/>
        <w:spacing w:after="283" w:before="0"/>
        <w:contextualSpacing w:val="false"/>
        <w:rPr>
          <w:rStyle w:val="style18"/>
        </w:rPr>
      </w:pPr>
      <w:r>
        <w:rPr>
          <w:rStyle w:val="style18"/>
        </w:rPr>
        <w:t xml:space="preserve">                    </w:t>
      </w:r>
      <w:r>
        <w:rPr>
          <w:rStyle w:val="style18"/>
        </w:rPr>
        <w:t>о размере и об источниках доходов, имуществе,</w:t>
      </w:r>
    </w:p>
    <w:p>
      <w:pPr>
        <w:pStyle w:val="style35"/>
        <w:spacing w:after="283" w:before="0"/>
        <w:contextualSpacing w:val="false"/>
        <w:rPr>
          <w:rStyle w:val="style18"/>
        </w:rPr>
      </w:pPr>
      <w:r>
        <w:rPr>
          <w:rStyle w:val="style18"/>
        </w:rPr>
        <w:t xml:space="preserve">                   </w:t>
      </w:r>
      <w:r>
        <w:rPr>
          <w:rStyle w:val="style18"/>
        </w:rPr>
        <w:t>принадлежащем кандидату на праве собственности,</w:t>
      </w:r>
    </w:p>
    <w:p>
      <w:pPr>
        <w:pStyle w:val="style35"/>
        <w:spacing w:after="283" w:before="0"/>
        <w:contextualSpacing w:val="false"/>
        <w:rPr/>
      </w:pPr>
      <w:r>
        <w:rPr>
          <w:rStyle w:val="style18"/>
        </w:rPr>
        <w:t xml:space="preserve">                         </w:t>
      </w:r>
      <w:r>
        <w:rPr>
          <w:rStyle w:val="style18"/>
        </w:rPr>
        <w:t xml:space="preserve">о вкладах в банках, ценных бумагах </w:t>
      </w:r>
      <w:r>
        <w:rPr/>
        <w:t>&lt;</w:t>
      </w:r>
      <w:hyperlink w:anchor="Lbl85">
        <w:r>
          <w:rPr>
            <w:rStyle w:val="style17"/>
          </w:rPr>
          <w:t>1</w:t>
        </w:r>
      </w:hyperlink>
      <w:r>
        <w:rPr/>
        <w:t>&gt;</w:t>
      </w:r>
    </w:p>
    <w:p>
      <w:pPr>
        <w:pStyle w:val="style35"/>
        <w:spacing w:after="283" w:before="0"/>
        <w:contextualSpacing w:val="false"/>
        <w:rPr/>
      </w:pPr>
      <w:r>
        <w:rPr/>
        <w:t>Я, кандидат ___________________________________________________________,</w:t>
      </w:r>
    </w:p>
    <w:p>
      <w:pPr>
        <w:pStyle w:val="style35"/>
        <w:spacing w:after="283" w:before="0"/>
        <w:contextualSpacing w:val="false"/>
        <w:rPr/>
      </w:pPr>
      <w:r>
        <w:rPr/>
        <w:t xml:space="preserve">                               </w:t>
      </w:r>
      <w:r>
        <w:rPr/>
        <w:t>(фамилия, имя, отчество)</w:t>
      </w:r>
    </w:p>
    <w:p>
      <w:pPr>
        <w:pStyle w:val="style35"/>
        <w:spacing w:after="283" w:before="0"/>
        <w:contextualSpacing w:val="false"/>
        <w:rPr/>
      </w:pPr>
      <w:r>
        <w:rPr/>
        <w:t>сообщаю  сведения  о  размере  и об источниках своих доходов, имуществе,</w:t>
      </w:r>
    </w:p>
    <w:p>
      <w:pPr>
        <w:pStyle w:val="style35"/>
        <w:spacing w:after="283" w:before="0"/>
        <w:contextualSpacing w:val="false"/>
        <w:rPr/>
      </w:pPr>
      <w:r>
        <w:rPr/>
        <w:t>принадлежащем  мне  на  праве  собственности (в том числе совместной), о</w:t>
      </w:r>
    </w:p>
    <w:p>
      <w:pPr>
        <w:pStyle w:val="style35"/>
        <w:spacing w:after="283" w:before="0"/>
        <w:contextualSpacing w:val="false"/>
        <w:rPr/>
      </w:pPr>
      <w:r>
        <w:rPr/>
        <w:t>вкладах в банках, ценных бумагах:</w:t>
      </w:r>
    </w:p>
    <w:tbl>
      <w:tblPr>
        <w:jc w:val="left"/>
        <w:tblInd w:type="dxa" w:w="0"/>
        <w:tblBorders>
          <w:top w:val="nil"/>
          <w:left w:val="nil"/>
          <w:bottom w:val="nil"/>
          <w:insideH w:val="nil"/>
          <w:right w:val="nil"/>
          <w:insideV w:val="nil"/>
        </w:tblBorders>
        <w:tblCellMar>
          <w:top w:type="dxa" w:w="0"/>
          <w:left w:type="dxa" w:w="0"/>
          <w:bottom w:type="dxa" w:w="0"/>
          <w:right w:type="dxa" w:w="0"/>
        </w:tblCellMar>
      </w:tblPr>
      <w:tblGrid>
        <w:gridCol w:w="1171"/>
        <w:gridCol w:w="1411"/>
        <w:gridCol w:w="1141"/>
        <w:gridCol w:w="10357"/>
        <w:gridCol w:w="1681"/>
        <w:gridCol w:w="3001"/>
        <w:gridCol w:w="1291"/>
      </w:tblGrid>
      <w:tr>
        <w:trPr>
          <w:cantSplit w:val="false"/>
        </w:trPr>
        <w:tc>
          <w:tcPr>
            <w:tcW w:type="dxa" w:w="1171"/>
            <w:vMerge w:val="restart"/>
            <w:tcBorders>
              <w:top w:val="nil"/>
              <w:left w:val="nil"/>
              <w:bottom w:val="nil"/>
              <w:right w:val="nil"/>
            </w:tcBorders>
            <w:shd w:fill="auto" w:val="clear"/>
          </w:tcPr>
          <w:p>
            <w:pPr>
              <w:pStyle w:val="style40"/>
              <w:spacing w:after="40" w:before="0"/>
              <w:contextualSpacing w:val="false"/>
              <w:jc w:val="left"/>
              <w:rPr/>
            </w:pPr>
            <w:r>
              <w:rPr/>
              <w:t>Фамилия, имя и отчество</w:t>
            </w:r>
          </w:p>
        </w:tc>
        <w:tc>
          <w:tcPr>
            <w:tcW w:type="dxa" w:w="1411"/>
            <w:vMerge w:val="restart"/>
            <w:tcBorders>
              <w:top w:val="nil"/>
              <w:left w:val="nil"/>
              <w:bottom w:val="nil"/>
              <w:right w:val="nil"/>
            </w:tcBorders>
            <w:shd w:fill="auto" w:val="clear"/>
          </w:tcPr>
          <w:p>
            <w:pPr>
              <w:pStyle w:val="style40"/>
              <w:spacing w:after="40" w:before="0"/>
              <w:contextualSpacing w:val="false"/>
              <w:jc w:val="left"/>
              <w:rPr/>
            </w:pPr>
            <w:r>
              <w:rPr/>
              <w:t>Серия и номер паспорта или документа, заменяющего паспорт гражданина</w:t>
            </w:r>
          </w:p>
        </w:tc>
        <w:tc>
          <w:tcPr>
            <w:tcW w:type="dxa" w:w="1141"/>
            <w:vMerge w:val="restart"/>
            <w:tcBorders>
              <w:top w:val="nil"/>
              <w:left w:val="nil"/>
              <w:bottom w:val="nil"/>
              <w:right w:val="nil"/>
            </w:tcBorders>
            <w:shd w:fill="auto" w:val="clear"/>
          </w:tcPr>
          <w:p>
            <w:pPr>
              <w:pStyle w:val="style40"/>
              <w:spacing w:after="40" w:before="0"/>
              <w:contextualSpacing w:val="false"/>
              <w:jc w:val="left"/>
              <w:rPr/>
            </w:pPr>
            <w:r>
              <w:rPr/>
              <w:t>Доходы &lt;</w:t>
            </w:r>
            <w:hyperlink w:anchor="Lbl86">
              <w:r>
                <w:rPr>
                  <w:rStyle w:val="style17"/>
                </w:rPr>
                <w:t>2</w:t>
              </w:r>
            </w:hyperlink>
            <w:r>
              <w:rPr/>
              <w:t>&gt;</w:t>
            </w:r>
          </w:p>
        </w:tc>
        <w:tc>
          <w:tcPr>
            <w:tcW w:type="dxa" w:w="10357"/>
            <w:gridSpan w:val="7"/>
            <w:tcBorders>
              <w:top w:val="nil"/>
              <w:left w:val="nil"/>
              <w:bottom w:val="nil"/>
              <w:right w:val="nil"/>
            </w:tcBorders>
            <w:shd w:fill="auto" w:val="clear"/>
          </w:tcPr>
          <w:p>
            <w:pPr>
              <w:pStyle w:val="style40"/>
              <w:spacing w:after="40" w:before="0"/>
              <w:contextualSpacing w:val="false"/>
              <w:jc w:val="left"/>
              <w:rPr/>
            </w:pPr>
            <w:r>
              <w:rPr/>
              <w:t>Имущество</w:t>
            </w:r>
          </w:p>
        </w:tc>
        <w:tc>
          <w:tcPr>
            <w:tcW w:type="dxa" w:w="1681"/>
            <w:vMerge w:val="restart"/>
            <w:tcBorders>
              <w:top w:val="nil"/>
              <w:left w:val="nil"/>
              <w:bottom w:val="nil"/>
              <w:right w:val="nil"/>
            </w:tcBorders>
            <w:shd w:fill="auto" w:val="clear"/>
          </w:tcPr>
          <w:p>
            <w:pPr>
              <w:pStyle w:val="style40"/>
              <w:spacing w:after="40" w:before="0"/>
              <w:contextualSpacing w:val="false"/>
              <w:jc w:val="left"/>
              <w:rPr/>
            </w:pPr>
            <w:r>
              <w:rPr/>
              <w:t>Денежные средства, находящиеся на счетах в банках</w:t>
            </w:r>
          </w:p>
        </w:tc>
        <w:tc>
          <w:tcPr>
            <w:tcW w:type="dxa" w:w="3001"/>
            <w:vMerge w:val="restart"/>
            <w:tcBorders>
              <w:top w:val="nil"/>
              <w:left w:val="nil"/>
              <w:bottom w:val="nil"/>
              <w:right w:val="nil"/>
            </w:tcBorders>
            <w:shd w:fill="auto" w:val="clear"/>
          </w:tcPr>
          <w:p>
            <w:pPr>
              <w:pStyle w:val="style40"/>
              <w:spacing w:after="40" w:before="0"/>
              <w:contextualSpacing w:val="false"/>
              <w:jc w:val="left"/>
              <w:rPr/>
            </w:pPr>
            <w:r>
              <w:rPr/>
              <w:t>Акции и иное участие в коммерческих организациях</w:t>
            </w:r>
          </w:p>
        </w:tc>
        <w:tc>
          <w:tcPr>
            <w:tcW w:type="dxa" w:w="1291"/>
            <w:vMerge w:val="restart"/>
            <w:tcBorders>
              <w:top w:val="nil"/>
              <w:left w:val="nil"/>
              <w:bottom w:val="nil"/>
              <w:right w:val="nil"/>
            </w:tcBorders>
            <w:shd w:fill="auto" w:val="clear"/>
          </w:tcPr>
          <w:p>
            <w:pPr>
              <w:pStyle w:val="style40"/>
              <w:spacing w:after="40" w:before="0"/>
              <w:contextualSpacing w:val="false"/>
              <w:jc w:val="left"/>
              <w:rPr/>
            </w:pPr>
            <w:r>
              <w:rPr/>
              <w:t>Иные ценные бумаги</w:t>
            </w:r>
          </w:p>
        </w:tc>
      </w:tr>
      <w:tr>
        <w:trPr>
          <w:cantSplit w:val="false"/>
        </w:trPr>
        <w:tc>
          <w:tcPr>
            <w:tcW w:type="dxa" w:w="1171"/>
            <w:vMerge w:val="continue"/>
            <w:tcBorders>
              <w:top w:val="nil"/>
              <w:left w:val="nil"/>
              <w:bottom w:val="nil"/>
              <w:right w:val="nil"/>
            </w:tcBorders>
            <w:shd w:fill="auto" w:val="clear"/>
          </w:tcPr>
          <w:p>
            <w:pPr>
              <w:pStyle w:val="style28"/>
              <w:rPr>
                <w:sz w:val="4"/>
                <w:szCs w:val="4"/>
              </w:rPr>
            </w:pPr>
            <w:r>
              <w:rPr>
                <w:sz w:val="4"/>
                <w:szCs w:val="4"/>
              </w:rPr>
            </w:r>
          </w:p>
        </w:tc>
        <w:tc>
          <w:tcPr>
            <w:tcW w:type="dxa" w:w="1411"/>
            <w:vMerge w:val="continue"/>
            <w:tcBorders>
              <w:top w:val="nil"/>
              <w:left w:val="nil"/>
              <w:bottom w:val="nil"/>
              <w:right w:val="nil"/>
            </w:tcBorders>
            <w:shd w:fill="auto" w:val="clear"/>
          </w:tcPr>
          <w:p>
            <w:pPr>
              <w:pStyle w:val="style28"/>
              <w:rPr>
                <w:sz w:val="4"/>
                <w:szCs w:val="4"/>
              </w:rPr>
            </w:pPr>
            <w:r>
              <w:rPr>
                <w:sz w:val="4"/>
                <w:szCs w:val="4"/>
              </w:rPr>
            </w:r>
          </w:p>
        </w:tc>
        <w:tc>
          <w:tcPr>
            <w:tcW w:type="dxa" w:w="1141"/>
            <w:vMerge w:val="continue"/>
            <w:tcBorders>
              <w:top w:val="nil"/>
              <w:left w:val="nil"/>
              <w:bottom w:val="nil"/>
              <w:right w:val="nil"/>
            </w:tcBorders>
            <w:shd w:fill="auto" w:val="clear"/>
          </w:tcPr>
          <w:p>
            <w:pPr>
              <w:pStyle w:val="style28"/>
              <w:rPr>
                <w:sz w:val="4"/>
                <w:szCs w:val="4"/>
              </w:rPr>
            </w:pPr>
            <w:r>
              <w:rPr>
                <w:sz w:val="4"/>
                <w:szCs w:val="4"/>
              </w:rPr>
            </w:r>
          </w:p>
        </w:tc>
        <w:tc>
          <w:tcPr>
            <w:tcW w:type="dxa" w:w="8676"/>
            <w:gridSpan w:val="6"/>
            <w:tcBorders>
              <w:top w:val="nil"/>
              <w:left w:val="nil"/>
              <w:bottom w:val="nil"/>
              <w:right w:val="nil"/>
            </w:tcBorders>
            <w:shd w:fill="auto" w:val="clear"/>
          </w:tcPr>
          <w:p>
            <w:pPr>
              <w:pStyle w:val="style40"/>
              <w:spacing w:after="40" w:before="0"/>
              <w:contextualSpacing w:val="false"/>
              <w:jc w:val="left"/>
              <w:rPr/>
            </w:pPr>
            <w:r>
              <w:rPr/>
              <w:t>Недвижимое имущество</w:t>
            </w:r>
          </w:p>
        </w:tc>
        <w:tc>
          <w:tcPr>
            <w:tcW w:type="dxa" w:w="1681"/>
            <w:tcBorders>
              <w:top w:val="nil"/>
              <w:left w:val="nil"/>
              <w:bottom w:val="nil"/>
              <w:right w:val="nil"/>
            </w:tcBorders>
            <w:shd w:fill="auto" w:val="clear"/>
          </w:tcPr>
          <w:p>
            <w:pPr>
              <w:pStyle w:val="style40"/>
              <w:spacing w:after="40" w:before="0"/>
              <w:contextualSpacing w:val="false"/>
              <w:jc w:val="left"/>
              <w:rPr/>
            </w:pPr>
            <w:r>
              <w:rPr/>
              <w:t>транспортные средства</w:t>
            </w:r>
          </w:p>
        </w:tc>
        <w:tc>
          <w:tcPr>
            <w:tcW w:type="dxa" w:w="1681"/>
            <w:vMerge w:val="continue"/>
            <w:tcBorders>
              <w:top w:val="nil"/>
              <w:left w:val="nil"/>
              <w:bottom w:val="nil"/>
              <w:right w:val="nil"/>
            </w:tcBorders>
            <w:shd w:fill="auto" w:val="clear"/>
          </w:tcPr>
          <w:p>
            <w:pPr>
              <w:pStyle w:val="style28"/>
              <w:rPr>
                <w:sz w:val="4"/>
                <w:szCs w:val="4"/>
              </w:rPr>
            </w:pPr>
            <w:r>
              <w:rPr>
                <w:sz w:val="4"/>
                <w:szCs w:val="4"/>
              </w:rPr>
            </w:r>
          </w:p>
        </w:tc>
        <w:tc>
          <w:tcPr>
            <w:tcW w:type="dxa" w:w="3001"/>
            <w:vMerge w:val="continue"/>
            <w:tcBorders>
              <w:top w:val="nil"/>
              <w:left w:val="nil"/>
              <w:bottom w:val="nil"/>
              <w:right w:val="nil"/>
            </w:tcBorders>
            <w:shd w:fill="auto" w:val="clear"/>
          </w:tcPr>
          <w:p>
            <w:pPr>
              <w:pStyle w:val="style28"/>
              <w:rPr>
                <w:sz w:val="4"/>
                <w:szCs w:val="4"/>
              </w:rPr>
            </w:pPr>
            <w:r>
              <w:rPr>
                <w:sz w:val="4"/>
                <w:szCs w:val="4"/>
              </w:rPr>
            </w:r>
          </w:p>
        </w:tc>
        <w:tc>
          <w:tcPr>
            <w:tcW w:type="dxa" w:w="1291"/>
            <w:vMerge w:val="continue"/>
            <w:tcBorders>
              <w:top w:val="nil"/>
              <w:left w:val="nil"/>
              <w:bottom w:val="nil"/>
              <w:right w:val="nil"/>
            </w:tcBorders>
            <w:shd w:fill="auto" w:val="clear"/>
          </w:tcPr>
          <w:p>
            <w:pPr>
              <w:pStyle w:val="style28"/>
              <w:rPr>
                <w:sz w:val="4"/>
                <w:szCs w:val="4"/>
              </w:rPr>
            </w:pPr>
            <w:r>
              <w:rPr>
                <w:sz w:val="4"/>
                <w:szCs w:val="4"/>
              </w:rPr>
            </w:r>
          </w:p>
        </w:tc>
      </w:tr>
      <w:tr>
        <w:trPr>
          <w:cantSplit w:val="false"/>
        </w:trPr>
        <w:tc>
          <w:tcPr>
            <w:tcW w:type="dxa" w:w="1171"/>
            <w:vMerge w:val="continue"/>
            <w:tcBorders>
              <w:top w:val="nil"/>
              <w:left w:val="nil"/>
              <w:bottom w:val="nil"/>
              <w:right w:val="nil"/>
            </w:tcBorders>
            <w:shd w:fill="auto" w:val="clear"/>
          </w:tcPr>
          <w:p>
            <w:pPr>
              <w:pStyle w:val="style28"/>
              <w:rPr>
                <w:sz w:val="4"/>
                <w:szCs w:val="4"/>
              </w:rPr>
            </w:pPr>
            <w:r>
              <w:rPr>
                <w:sz w:val="4"/>
                <w:szCs w:val="4"/>
              </w:rPr>
            </w:r>
          </w:p>
        </w:tc>
        <w:tc>
          <w:tcPr>
            <w:tcW w:type="dxa" w:w="1411"/>
            <w:vMerge w:val="continue"/>
            <w:tcBorders>
              <w:top w:val="nil"/>
              <w:left w:val="nil"/>
              <w:bottom w:val="nil"/>
              <w:right w:val="nil"/>
            </w:tcBorders>
            <w:shd w:fill="auto" w:val="clear"/>
          </w:tcPr>
          <w:p>
            <w:pPr>
              <w:pStyle w:val="style28"/>
              <w:rPr>
                <w:sz w:val="4"/>
                <w:szCs w:val="4"/>
              </w:rPr>
            </w:pPr>
            <w:r>
              <w:rPr>
                <w:sz w:val="4"/>
                <w:szCs w:val="4"/>
              </w:rPr>
            </w:r>
          </w:p>
        </w:tc>
        <w:tc>
          <w:tcPr>
            <w:tcW w:type="dxa" w:w="1141"/>
            <w:vMerge w:val="restart"/>
            <w:tcBorders>
              <w:top w:val="nil"/>
              <w:left w:val="nil"/>
              <w:bottom w:val="nil"/>
              <w:right w:val="nil"/>
            </w:tcBorders>
            <w:shd w:fill="auto" w:val="clear"/>
          </w:tcPr>
          <w:p>
            <w:pPr>
              <w:pStyle w:val="style40"/>
              <w:spacing w:after="40" w:before="0"/>
              <w:contextualSpacing w:val="false"/>
              <w:jc w:val="left"/>
              <w:rPr/>
            </w:pPr>
            <w:r>
              <w:rPr/>
              <w:t>источник выплаты дохода, сумма (руб.) &lt;</w:t>
            </w:r>
            <w:hyperlink w:anchor="Lbl87">
              <w:r>
                <w:rPr>
                  <w:rStyle w:val="style17"/>
                </w:rPr>
                <w:t>3</w:t>
              </w:r>
            </w:hyperlink>
            <w:r>
              <w:rPr/>
              <w:t>&gt;</w:t>
            </w:r>
          </w:p>
        </w:tc>
        <w:tc>
          <w:tcPr>
            <w:tcW w:type="dxa" w:w="1441"/>
            <w:tcBorders>
              <w:top w:val="nil"/>
              <w:left w:val="nil"/>
              <w:bottom w:val="nil"/>
              <w:right w:val="nil"/>
            </w:tcBorders>
            <w:shd w:fill="auto" w:val="clear"/>
          </w:tcPr>
          <w:p>
            <w:pPr>
              <w:pStyle w:val="style40"/>
              <w:spacing w:after="40" w:before="0"/>
              <w:contextualSpacing w:val="false"/>
              <w:jc w:val="left"/>
              <w:rPr/>
            </w:pPr>
            <w:r>
              <w:rPr/>
              <w:t>земельные участки</w:t>
            </w:r>
          </w:p>
        </w:tc>
        <w:tc>
          <w:tcPr>
            <w:tcW w:type="dxa" w:w="1441"/>
            <w:tcBorders>
              <w:top w:val="nil"/>
              <w:left w:val="nil"/>
              <w:bottom w:val="nil"/>
              <w:right w:val="nil"/>
            </w:tcBorders>
            <w:shd w:fill="auto" w:val="clear"/>
          </w:tcPr>
          <w:p>
            <w:pPr>
              <w:pStyle w:val="style40"/>
              <w:spacing w:after="40" w:before="0"/>
              <w:contextualSpacing w:val="false"/>
              <w:jc w:val="left"/>
              <w:rPr/>
            </w:pPr>
            <w:r>
              <w:rPr/>
              <w:t>жилые дома</w:t>
            </w:r>
          </w:p>
        </w:tc>
        <w:tc>
          <w:tcPr>
            <w:tcW w:type="dxa" w:w="1441"/>
            <w:tcBorders>
              <w:top w:val="nil"/>
              <w:left w:val="nil"/>
              <w:bottom w:val="nil"/>
              <w:right w:val="nil"/>
            </w:tcBorders>
            <w:shd w:fill="auto" w:val="clear"/>
          </w:tcPr>
          <w:p>
            <w:pPr>
              <w:pStyle w:val="style40"/>
              <w:spacing w:after="40" w:before="0"/>
              <w:contextualSpacing w:val="false"/>
              <w:jc w:val="left"/>
              <w:rPr/>
            </w:pPr>
            <w:r>
              <w:rPr/>
              <w:t>квартиры</w:t>
            </w:r>
          </w:p>
        </w:tc>
        <w:tc>
          <w:tcPr>
            <w:tcW w:type="dxa" w:w="1441"/>
            <w:tcBorders>
              <w:top w:val="nil"/>
              <w:left w:val="nil"/>
              <w:bottom w:val="nil"/>
              <w:right w:val="nil"/>
            </w:tcBorders>
            <w:shd w:fill="auto" w:val="clear"/>
          </w:tcPr>
          <w:p>
            <w:pPr>
              <w:pStyle w:val="style40"/>
              <w:spacing w:after="40" w:before="0"/>
              <w:contextualSpacing w:val="false"/>
              <w:jc w:val="left"/>
              <w:rPr/>
            </w:pPr>
            <w:r>
              <w:rPr/>
              <w:t>дачи</w:t>
            </w:r>
          </w:p>
        </w:tc>
        <w:tc>
          <w:tcPr>
            <w:tcW w:type="dxa" w:w="1441"/>
            <w:tcBorders>
              <w:top w:val="nil"/>
              <w:left w:val="nil"/>
              <w:bottom w:val="nil"/>
              <w:right w:val="nil"/>
            </w:tcBorders>
            <w:shd w:fill="auto" w:val="clear"/>
          </w:tcPr>
          <w:p>
            <w:pPr>
              <w:pStyle w:val="style40"/>
              <w:spacing w:after="40" w:before="0"/>
              <w:contextualSpacing w:val="false"/>
              <w:jc w:val="left"/>
              <w:rPr/>
            </w:pPr>
            <w:r>
              <w:rPr/>
              <w:t>гаражи</w:t>
            </w:r>
          </w:p>
        </w:tc>
        <w:tc>
          <w:tcPr>
            <w:tcW w:type="dxa" w:w="1471"/>
            <w:tcBorders>
              <w:top w:val="nil"/>
              <w:left w:val="nil"/>
              <w:bottom w:val="nil"/>
              <w:right w:val="nil"/>
            </w:tcBorders>
            <w:shd w:fill="auto" w:val="clear"/>
          </w:tcPr>
          <w:p>
            <w:pPr>
              <w:pStyle w:val="style40"/>
              <w:spacing w:after="40" w:before="0"/>
              <w:contextualSpacing w:val="false"/>
              <w:jc w:val="left"/>
              <w:rPr/>
            </w:pPr>
            <w:r>
              <w:rPr/>
              <w:t>иное недвижимое имущество</w:t>
            </w:r>
          </w:p>
        </w:tc>
        <w:tc>
          <w:tcPr>
            <w:tcW w:type="dxa" w:w="1681"/>
            <w:vMerge w:val="restart"/>
            <w:tcBorders>
              <w:top w:val="nil"/>
              <w:left w:val="nil"/>
              <w:bottom w:val="nil"/>
              <w:right w:val="nil"/>
            </w:tcBorders>
            <w:shd w:fill="auto" w:val="clear"/>
          </w:tcPr>
          <w:p>
            <w:pPr>
              <w:pStyle w:val="style40"/>
              <w:spacing w:after="40" w:before="0"/>
              <w:contextualSpacing w:val="false"/>
              <w:jc w:val="left"/>
              <w:rPr/>
            </w:pPr>
            <w:r>
              <w:rPr/>
              <w:t>вид &lt;</w:t>
            </w:r>
            <w:hyperlink w:anchor="Lbl88">
              <w:r>
                <w:rPr>
                  <w:rStyle w:val="style17"/>
                </w:rPr>
                <w:t>4</w:t>
              </w:r>
            </w:hyperlink>
            <w:r>
              <w:rPr/>
              <w:t>&gt;, марка, модель, год выпуска</w:t>
            </w:r>
          </w:p>
        </w:tc>
        <w:tc>
          <w:tcPr>
            <w:tcW w:type="dxa" w:w="1681"/>
            <w:vMerge w:val="restart"/>
            <w:tcBorders>
              <w:top w:val="nil"/>
              <w:left w:val="nil"/>
              <w:bottom w:val="nil"/>
              <w:right w:val="nil"/>
            </w:tcBorders>
            <w:shd w:fill="auto" w:val="clear"/>
          </w:tcPr>
          <w:p>
            <w:pPr>
              <w:pStyle w:val="style40"/>
              <w:spacing w:after="40" w:before="0"/>
              <w:contextualSpacing w:val="false"/>
              <w:jc w:val="left"/>
              <w:rPr/>
            </w:pPr>
            <w:r>
              <w:rPr/>
              <w:t>наименование и место нахождения (адрес) банка, номер счета, остаток (руб.) &lt;</w:t>
            </w:r>
            <w:hyperlink w:anchor="Lbl89">
              <w:r>
                <w:rPr>
                  <w:rStyle w:val="style17"/>
                </w:rPr>
                <w:t>5</w:t>
              </w:r>
            </w:hyperlink>
            <w:r>
              <w:rPr/>
              <w:t>&gt;</w:t>
            </w:r>
          </w:p>
        </w:tc>
        <w:tc>
          <w:tcPr>
            <w:tcW w:type="dxa" w:w="3001"/>
            <w:vMerge w:val="restart"/>
            <w:tcBorders>
              <w:top w:val="nil"/>
              <w:left w:val="nil"/>
              <w:bottom w:val="nil"/>
              <w:right w:val="nil"/>
            </w:tcBorders>
            <w:shd w:fill="auto" w:val="clear"/>
          </w:tcPr>
          <w:p>
            <w:pPr>
              <w:pStyle w:val="style40"/>
              <w:spacing w:after="40" w:before="0"/>
              <w:contextualSpacing w:val="false"/>
              <w:jc w:val="left"/>
              <w:rPr/>
            </w:pPr>
            <w:r>
              <w:rPr/>
              <w:t>наименование и организационно-правовая форма организации &lt;</w:t>
            </w:r>
            <w:hyperlink w:anchor="Lbl90">
              <w:r>
                <w:rPr>
                  <w:rStyle w:val="style17"/>
                </w:rPr>
                <w:t>6</w:t>
              </w:r>
            </w:hyperlink>
            <w:r>
              <w:rPr/>
              <w:t>&gt;, место нахождения (адрес), доля участия (%)&lt;</w:t>
            </w:r>
            <w:hyperlink w:anchor="Lbl103">
              <w:r>
                <w:rPr>
                  <w:rStyle w:val="style17"/>
                </w:rPr>
                <w:t>7</w:t>
              </w:r>
            </w:hyperlink>
            <w:r>
              <w:rPr/>
              <w:t>&gt;</w:t>
            </w:r>
          </w:p>
        </w:tc>
        <w:tc>
          <w:tcPr>
            <w:tcW w:type="dxa" w:w="1291"/>
            <w:vMerge w:val="restart"/>
            <w:tcBorders>
              <w:top w:val="nil"/>
              <w:left w:val="nil"/>
              <w:bottom w:val="nil"/>
              <w:right w:val="nil"/>
            </w:tcBorders>
            <w:shd w:fill="auto" w:val="clear"/>
          </w:tcPr>
          <w:p>
            <w:pPr>
              <w:pStyle w:val="style40"/>
              <w:spacing w:after="40" w:before="0"/>
              <w:contextualSpacing w:val="false"/>
              <w:jc w:val="left"/>
              <w:rPr/>
            </w:pPr>
            <w:r>
              <w:rPr/>
              <w:t>вид ценной бумаги &lt;</w:t>
            </w:r>
            <w:hyperlink w:anchor="Lbl104">
              <w:r>
                <w:rPr>
                  <w:rStyle w:val="style17"/>
                </w:rPr>
                <w:t>8</w:t>
              </w:r>
            </w:hyperlink>
            <w:r>
              <w:rPr/>
              <w:t>&gt;, лицо, выпустившее ценную бумагу, общая стоимость (руб.)</w:t>
            </w:r>
          </w:p>
        </w:tc>
      </w:tr>
      <w:tr>
        <w:trPr>
          <w:cantSplit w:val="false"/>
        </w:trPr>
        <w:tc>
          <w:tcPr>
            <w:tcW w:type="dxa" w:w="1171"/>
            <w:vMerge w:val="continue"/>
            <w:tcBorders>
              <w:top w:val="nil"/>
              <w:left w:val="nil"/>
              <w:bottom w:val="nil"/>
              <w:right w:val="nil"/>
            </w:tcBorders>
            <w:shd w:fill="auto" w:val="clear"/>
          </w:tcPr>
          <w:p>
            <w:pPr>
              <w:pStyle w:val="style28"/>
              <w:rPr>
                <w:sz w:val="4"/>
                <w:szCs w:val="4"/>
              </w:rPr>
            </w:pPr>
            <w:r>
              <w:rPr>
                <w:sz w:val="4"/>
                <w:szCs w:val="4"/>
              </w:rPr>
            </w:r>
          </w:p>
        </w:tc>
        <w:tc>
          <w:tcPr>
            <w:tcW w:type="dxa" w:w="1411"/>
            <w:vMerge w:val="continue"/>
            <w:tcBorders>
              <w:top w:val="nil"/>
              <w:left w:val="nil"/>
              <w:bottom w:val="nil"/>
              <w:right w:val="nil"/>
            </w:tcBorders>
            <w:shd w:fill="auto" w:val="clear"/>
          </w:tcPr>
          <w:p>
            <w:pPr>
              <w:pStyle w:val="style28"/>
              <w:rPr>
                <w:sz w:val="4"/>
                <w:szCs w:val="4"/>
              </w:rPr>
            </w:pPr>
            <w:r>
              <w:rPr>
                <w:sz w:val="4"/>
                <w:szCs w:val="4"/>
              </w:rPr>
            </w:r>
          </w:p>
        </w:tc>
        <w:tc>
          <w:tcPr>
            <w:tcW w:type="dxa" w:w="1141"/>
            <w:vMerge w:val="continue"/>
            <w:tcBorders>
              <w:top w:val="nil"/>
              <w:left w:val="nil"/>
              <w:bottom w:val="nil"/>
              <w:right w:val="nil"/>
            </w:tcBorders>
            <w:shd w:fill="auto" w:val="clear"/>
          </w:tcPr>
          <w:p>
            <w:pPr>
              <w:pStyle w:val="style28"/>
              <w:rPr>
                <w:sz w:val="4"/>
                <w:szCs w:val="4"/>
              </w:rPr>
            </w:pPr>
            <w:r>
              <w:rPr>
                <w:sz w:val="4"/>
                <w:szCs w:val="4"/>
              </w:rPr>
            </w:r>
          </w:p>
        </w:tc>
        <w:tc>
          <w:tcPr>
            <w:tcW w:type="dxa" w:w="1441"/>
            <w:tcBorders>
              <w:top w:val="nil"/>
              <w:left w:val="nil"/>
              <w:bottom w:val="nil"/>
              <w:right w:val="nil"/>
            </w:tcBorders>
            <w:shd w:fill="auto" w:val="clear"/>
          </w:tcPr>
          <w:p>
            <w:pPr>
              <w:pStyle w:val="style40"/>
              <w:spacing w:after="40" w:before="0"/>
              <w:contextualSpacing w:val="false"/>
              <w:jc w:val="left"/>
              <w:rPr/>
            </w:pPr>
            <w:r>
              <w:rPr/>
              <w:t>место нахождения (адрес), общая площадь (кв. м)</w:t>
            </w:r>
          </w:p>
        </w:tc>
        <w:tc>
          <w:tcPr>
            <w:tcW w:type="dxa" w:w="1441"/>
            <w:tcBorders>
              <w:top w:val="nil"/>
              <w:left w:val="nil"/>
              <w:bottom w:val="nil"/>
              <w:right w:val="nil"/>
            </w:tcBorders>
            <w:shd w:fill="auto" w:val="clear"/>
          </w:tcPr>
          <w:p>
            <w:pPr>
              <w:pStyle w:val="style40"/>
              <w:spacing w:after="40" w:before="0"/>
              <w:contextualSpacing w:val="false"/>
              <w:jc w:val="left"/>
              <w:rPr/>
            </w:pPr>
            <w:r>
              <w:rPr/>
              <w:t>место нахождения (адрес), общая площадь (кв. м)</w:t>
            </w:r>
          </w:p>
        </w:tc>
        <w:tc>
          <w:tcPr>
            <w:tcW w:type="dxa" w:w="1441"/>
            <w:tcBorders>
              <w:top w:val="nil"/>
              <w:left w:val="nil"/>
              <w:bottom w:val="nil"/>
              <w:right w:val="nil"/>
            </w:tcBorders>
            <w:shd w:fill="auto" w:val="clear"/>
          </w:tcPr>
          <w:p>
            <w:pPr>
              <w:pStyle w:val="style40"/>
              <w:spacing w:after="40" w:before="0"/>
              <w:contextualSpacing w:val="false"/>
              <w:jc w:val="left"/>
              <w:rPr/>
            </w:pPr>
            <w:r>
              <w:rPr/>
              <w:t>место нахождения (адрес), общая площадь (кв. м)</w:t>
            </w:r>
          </w:p>
        </w:tc>
        <w:tc>
          <w:tcPr>
            <w:tcW w:type="dxa" w:w="1441"/>
            <w:tcBorders>
              <w:top w:val="nil"/>
              <w:left w:val="nil"/>
              <w:bottom w:val="nil"/>
              <w:right w:val="nil"/>
            </w:tcBorders>
            <w:shd w:fill="auto" w:val="clear"/>
          </w:tcPr>
          <w:p>
            <w:pPr>
              <w:pStyle w:val="style40"/>
              <w:spacing w:after="40" w:before="0"/>
              <w:contextualSpacing w:val="false"/>
              <w:jc w:val="left"/>
              <w:rPr/>
            </w:pPr>
            <w:r>
              <w:rPr/>
              <w:t>место нахождения (адрес), общая площадь (кв. м)</w:t>
            </w:r>
          </w:p>
        </w:tc>
        <w:tc>
          <w:tcPr>
            <w:tcW w:type="dxa" w:w="1441"/>
            <w:tcBorders>
              <w:top w:val="nil"/>
              <w:left w:val="nil"/>
              <w:bottom w:val="nil"/>
              <w:right w:val="nil"/>
            </w:tcBorders>
            <w:shd w:fill="auto" w:val="clear"/>
          </w:tcPr>
          <w:p>
            <w:pPr>
              <w:pStyle w:val="style40"/>
              <w:spacing w:after="40" w:before="0"/>
              <w:contextualSpacing w:val="false"/>
              <w:jc w:val="left"/>
              <w:rPr/>
            </w:pPr>
            <w:r>
              <w:rPr/>
              <w:t>место нахождения (адрес), общая площадь (кв. м)</w:t>
            </w:r>
          </w:p>
        </w:tc>
        <w:tc>
          <w:tcPr>
            <w:tcW w:type="dxa" w:w="1471"/>
            <w:tcBorders>
              <w:top w:val="nil"/>
              <w:left w:val="nil"/>
              <w:bottom w:val="nil"/>
              <w:right w:val="nil"/>
            </w:tcBorders>
            <w:shd w:fill="auto" w:val="clear"/>
          </w:tcPr>
          <w:p>
            <w:pPr>
              <w:pStyle w:val="style40"/>
              <w:spacing w:after="40" w:before="0"/>
              <w:contextualSpacing w:val="false"/>
              <w:jc w:val="left"/>
              <w:rPr/>
            </w:pPr>
            <w:r>
              <w:rPr/>
              <w:t>место нахождения (адрес), общая площадь (кв. м)</w:t>
            </w:r>
          </w:p>
        </w:tc>
        <w:tc>
          <w:tcPr>
            <w:tcW w:type="dxa" w:w="1681"/>
            <w:vMerge w:val="continue"/>
            <w:tcBorders>
              <w:top w:val="nil"/>
              <w:left w:val="nil"/>
              <w:bottom w:val="nil"/>
              <w:right w:val="nil"/>
            </w:tcBorders>
            <w:shd w:fill="auto" w:val="clear"/>
          </w:tcPr>
          <w:p>
            <w:pPr>
              <w:pStyle w:val="style28"/>
              <w:rPr>
                <w:sz w:val="4"/>
                <w:szCs w:val="4"/>
              </w:rPr>
            </w:pPr>
            <w:r>
              <w:rPr>
                <w:sz w:val="4"/>
                <w:szCs w:val="4"/>
              </w:rPr>
            </w:r>
          </w:p>
        </w:tc>
        <w:tc>
          <w:tcPr>
            <w:tcW w:type="dxa" w:w="1681"/>
            <w:vMerge w:val="continue"/>
            <w:tcBorders>
              <w:top w:val="nil"/>
              <w:left w:val="nil"/>
              <w:bottom w:val="nil"/>
              <w:right w:val="nil"/>
            </w:tcBorders>
            <w:shd w:fill="auto" w:val="clear"/>
          </w:tcPr>
          <w:p>
            <w:pPr>
              <w:pStyle w:val="style28"/>
              <w:rPr>
                <w:sz w:val="4"/>
                <w:szCs w:val="4"/>
              </w:rPr>
            </w:pPr>
            <w:r>
              <w:rPr>
                <w:sz w:val="4"/>
                <w:szCs w:val="4"/>
              </w:rPr>
            </w:r>
          </w:p>
        </w:tc>
        <w:tc>
          <w:tcPr>
            <w:tcW w:type="dxa" w:w="3001"/>
            <w:vMerge w:val="continue"/>
            <w:tcBorders>
              <w:top w:val="nil"/>
              <w:left w:val="nil"/>
              <w:bottom w:val="nil"/>
              <w:right w:val="nil"/>
            </w:tcBorders>
            <w:shd w:fill="auto" w:val="clear"/>
          </w:tcPr>
          <w:p>
            <w:pPr>
              <w:pStyle w:val="style28"/>
              <w:rPr>
                <w:sz w:val="4"/>
                <w:szCs w:val="4"/>
              </w:rPr>
            </w:pPr>
            <w:r>
              <w:rPr>
                <w:sz w:val="4"/>
                <w:szCs w:val="4"/>
              </w:rPr>
            </w:r>
          </w:p>
        </w:tc>
        <w:tc>
          <w:tcPr>
            <w:tcW w:type="dxa" w:w="1291"/>
            <w:vMerge w:val="continue"/>
            <w:tcBorders>
              <w:top w:val="nil"/>
              <w:left w:val="nil"/>
              <w:bottom w:val="nil"/>
              <w:right w:val="nil"/>
            </w:tcBorders>
            <w:shd w:fill="auto" w:val="clear"/>
          </w:tcPr>
          <w:p>
            <w:pPr>
              <w:pStyle w:val="style28"/>
              <w:rPr>
                <w:sz w:val="4"/>
                <w:szCs w:val="4"/>
              </w:rPr>
            </w:pPr>
            <w:r>
              <w:rPr>
                <w:sz w:val="4"/>
                <w:szCs w:val="4"/>
              </w:rPr>
            </w:r>
          </w:p>
        </w:tc>
      </w:tr>
      <w:tr>
        <w:trPr>
          <w:cantSplit w:val="false"/>
        </w:trPr>
        <w:tc>
          <w:tcPr>
            <w:tcW w:type="dxa" w:w="1171"/>
            <w:tcBorders>
              <w:top w:val="nil"/>
              <w:left w:val="nil"/>
              <w:bottom w:val="nil"/>
              <w:right w:val="nil"/>
            </w:tcBorders>
            <w:shd w:fill="auto" w:val="clear"/>
          </w:tcPr>
          <w:p>
            <w:pPr>
              <w:pStyle w:val="style40"/>
              <w:spacing w:after="40" w:before="0"/>
              <w:contextualSpacing w:val="false"/>
              <w:jc w:val="left"/>
              <w:rPr/>
            </w:pPr>
            <w:r>
              <w:rPr/>
              <w:t>1</w:t>
            </w:r>
          </w:p>
        </w:tc>
        <w:tc>
          <w:tcPr>
            <w:tcW w:type="dxa" w:w="1411"/>
            <w:tcBorders>
              <w:top w:val="nil"/>
              <w:left w:val="nil"/>
              <w:bottom w:val="nil"/>
              <w:right w:val="nil"/>
            </w:tcBorders>
            <w:shd w:fill="auto" w:val="clear"/>
          </w:tcPr>
          <w:p>
            <w:pPr>
              <w:pStyle w:val="style40"/>
              <w:spacing w:after="40" w:before="0"/>
              <w:contextualSpacing w:val="false"/>
              <w:jc w:val="left"/>
              <w:rPr/>
            </w:pPr>
            <w:r>
              <w:rPr/>
              <w:t>2</w:t>
            </w:r>
          </w:p>
        </w:tc>
        <w:tc>
          <w:tcPr>
            <w:tcW w:type="dxa" w:w="1141"/>
            <w:tcBorders>
              <w:top w:val="nil"/>
              <w:left w:val="nil"/>
              <w:bottom w:val="nil"/>
              <w:right w:val="nil"/>
            </w:tcBorders>
            <w:shd w:fill="auto" w:val="clear"/>
          </w:tcPr>
          <w:p>
            <w:pPr>
              <w:pStyle w:val="style40"/>
              <w:spacing w:after="40" w:before="0"/>
              <w:contextualSpacing w:val="false"/>
              <w:jc w:val="left"/>
              <w:rPr/>
            </w:pPr>
            <w:r>
              <w:rPr/>
              <w:t>3</w:t>
            </w:r>
          </w:p>
        </w:tc>
        <w:tc>
          <w:tcPr>
            <w:tcW w:type="dxa" w:w="1441"/>
            <w:tcBorders>
              <w:top w:val="nil"/>
              <w:left w:val="nil"/>
              <w:bottom w:val="nil"/>
              <w:right w:val="nil"/>
            </w:tcBorders>
            <w:shd w:fill="auto" w:val="clear"/>
          </w:tcPr>
          <w:p>
            <w:pPr>
              <w:pStyle w:val="style40"/>
              <w:spacing w:after="40" w:before="0"/>
              <w:contextualSpacing w:val="false"/>
              <w:jc w:val="left"/>
              <w:rPr/>
            </w:pPr>
            <w:r>
              <w:rPr/>
              <w:t>4</w:t>
            </w:r>
          </w:p>
        </w:tc>
        <w:tc>
          <w:tcPr>
            <w:tcW w:type="dxa" w:w="1441"/>
            <w:tcBorders>
              <w:top w:val="nil"/>
              <w:left w:val="nil"/>
              <w:bottom w:val="nil"/>
              <w:right w:val="nil"/>
            </w:tcBorders>
            <w:shd w:fill="auto" w:val="clear"/>
          </w:tcPr>
          <w:p>
            <w:pPr>
              <w:pStyle w:val="style40"/>
              <w:spacing w:after="40" w:before="0"/>
              <w:contextualSpacing w:val="false"/>
              <w:jc w:val="left"/>
              <w:rPr/>
            </w:pPr>
            <w:r>
              <w:rPr/>
              <w:t>5</w:t>
            </w:r>
          </w:p>
        </w:tc>
        <w:tc>
          <w:tcPr>
            <w:tcW w:type="dxa" w:w="1441"/>
            <w:tcBorders>
              <w:top w:val="nil"/>
              <w:left w:val="nil"/>
              <w:bottom w:val="nil"/>
              <w:right w:val="nil"/>
            </w:tcBorders>
            <w:shd w:fill="auto" w:val="clear"/>
          </w:tcPr>
          <w:p>
            <w:pPr>
              <w:pStyle w:val="style40"/>
              <w:spacing w:after="40" w:before="0"/>
              <w:contextualSpacing w:val="false"/>
              <w:jc w:val="left"/>
              <w:rPr/>
            </w:pPr>
            <w:r>
              <w:rPr/>
              <w:t>6</w:t>
            </w:r>
          </w:p>
        </w:tc>
        <w:tc>
          <w:tcPr>
            <w:tcW w:type="dxa" w:w="1441"/>
            <w:tcBorders>
              <w:top w:val="nil"/>
              <w:left w:val="nil"/>
              <w:bottom w:val="nil"/>
              <w:right w:val="nil"/>
            </w:tcBorders>
            <w:shd w:fill="auto" w:val="clear"/>
          </w:tcPr>
          <w:p>
            <w:pPr>
              <w:pStyle w:val="style40"/>
              <w:spacing w:after="40" w:before="0"/>
              <w:contextualSpacing w:val="false"/>
              <w:jc w:val="left"/>
              <w:rPr/>
            </w:pPr>
            <w:r>
              <w:rPr/>
              <w:t>7</w:t>
            </w:r>
          </w:p>
        </w:tc>
        <w:tc>
          <w:tcPr>
            <w:tcW w:type="dxa" w:w="1441"/>
            <w:tcBorders>
              <w:top w:val="nil"/>
              <w:left w:val="nil"/>
              <w:bottom w:val="nil"/>
              <w:right w:val="nil"/>
            </w:tcBorders>
            <w:shd w:fill="auto" w:val="clear"/>
          </w:tcPr>
          <w:p>
            <w:pPr>
              <w:pStyle w:val="style40"/>
              <w:spacing w:after="40" w:before="0"/>
              <w:contextualSpacing w:val="false"/>
              <w:jc w:val="left"/>
              <w:rPr/>
            </w:pPr>
            <w:r>
              <w:rPr/>
              <w:t>8</w:t>
            </w:r>
          </w:p>
        </w:tc>
        <w:tc>
          <w:tcPr>
            <w:tcW w:type="dxa" w:w="1471"/>
            <w:tcBorders>
              <w:top w:val="nil"/>
              <w:left w:val="nil"/>
              <w:bottom w:val="nil"/>
              <w:right w:val="nil"/>
            </w:tcBorders>
            <w:shd w:fill="auto" w:val="clear"/>
          </w:tcPr>
          <w:p>
            <w:pPr>
              <w:pStyle w:val="style40"/>
              <w:spacing w:after="40" w:before="0"/>
              <w:contextualSpacing w:val="false"/>
              <w:jc w:val="left"/>
              <w:rPr/>
            </w:pPr>
            <w:r>
              <w:rPr/>
              <w:t>9</w:t>
            </w:r>
          </w:p>
        </w:tc>
        <w:tc>
          <w:tcPr>
            <w:tcW w:type="dxa" w:w="1681"/>
            <w:tcBorders>
              <w:top w:val="nil"/>
              <w:left w:val="nil"/>
              <w:bottom w:val="nil"/>
              <w:right w:val="nil"/>
            </w:tcBorders>
            <w:shd w:fill="auto" w:val="clear"/>
          </w:tcPr>
          <w:p>
            <w:pPr>
              <w:pStyle w:val="style40"/>
              <w:spacing w:after="40" w:before="0"/>
              <w:contextualSpacing w:val="false"/>
              <w:jc w:val="left"/>
              <w:rPr/>
            </w:pPr>
            <w:r>
              <w:rPr/>
              <w:t>10</w:t>
            </w:r>
          </w:p>
        </w:tc>
        <w:tc>
          <w:tcPr>
            <w:tcW w:type="dxa" w:w="1681"/>
            <w:tcBorders>
              <w:top w:val="nil"/>
              <w:left w:val="nil"/>
              <w:bottom w:val="nil"/>
              <w:right w:val="nil"/>
            </w:tcBorders>
            <w:shd w:fill="auto" w:val="clear"/>
          </w:tcPr>
          <w:p>
            <w:pPr>
              <w:pStyle w:val="style40"/>
              <w:spacing w:after="40" w:before="0"/>
              <w:contextualSpacing w:val="false"/>
              <w:jc w:val="left"/>
              <w:rPr/>
            </w:pPr>
            <w:r>
              <w:rPr/>
              <w:t>11</w:t>
            </w:r>
          </w:p>
        </w:tc>
        <w:tc>
          <w:tcPr>
            <w:tcW w:type="dxa" w:w="3001"/>
            <w:tcBorders>
              <w:top w:val="nil"/>
              <w:left w:val="nil"/>
              <w:bottom w:val="nil"/>
              <w:right w:val="nil"/>
            </w:tcBorders>
            <w:shd w:fill="auto" w:val="clear"/>
          </w:tcPr>
          <w:p>
            <w:pPr>
              <w:pStyle w:val="style40"/>
              <w:spacing w:after="40" w:before="0"/>
              <w:contextualSpacing w:val="false"/>
              <w:jc w:val="left"/>
              <w:rPr/>
            </w:pPr>
            <w:r>
              <w:rPr/>
              <w:t>12</w:t>
            </w:r>
          </w:p>
        </w:tc>
        <w:tc>
          <w:tcPr>
            <w:tcW w:type="dxa" w:w="1291"/>
            <w:tcBorders>
              <w:top w:val="nil"/>
              <w:left w:val="nil"/>
              <w:bottom w:val="nil"/>
              <w:right w:val="nil"/>
            </w:tcBorders>
            <w:shd w:fill="auto" w:val="clear"/>
          </w:tcPr>
          <w:p>
            <w:pPr>
              <w:pStyle w:val="style40"/>
              <w:spacing w:after="40" w:before="0"/>
              <w:contextualSpacing w:val="false"/>
              <w:jc w:val="left"/>
              <w:rPr/>
            </w:pPr>
            <w:r>
              <w:rPr/>
              <w:t>13</w:t>
            </w:r>
          </w:p>
        </w:tc>
      </w:tr>
    </w:tbl>
    <w:p>
      <w:pPr>
        <w:pStyle w:val="style35"/>
        <w:spacing w:after="283" w:before="0"/>
        <w:contextualSpacing w:val="false"/>
        <w:rPr/>
      </w:pPr>
      <w:r>
        <w:rPr/>
        <w:t>Достоверность и полноту настоящих сведений подтверждаю: ________________</w:t>
      </w:r>
    </w:p>
    <w:p>
      <w:pPr>
        <w:pStyle w:val="style35"/>
        <w:spacing w:after="283" w:before="0"/>
        <w:contextualSpacing w:val="false"/>
        <w:rPr/>
      </w:pPr>
      <w:r>
        <w:rPr/>
        <w:t xml:space="preserve">                                   </w:t>
      </w:r>
      <w:r>
        <w:rPr/>
        <w:t>(подпись кандидата)</w:t>
      </w:r>
    </w:p>
    <w:p>
      <w:pPr>
        <w:pStyle w:val="style35"/>
        <w:spacing w:after="283" w:before="0"/>
        <w:contextualSpacing w:val="false"/>
        <w:rPr/>
      </w:pPr>
      <w:r>
        <w:rPr/>
        <w:t>«___» ______________ ____ г.</w:t>
      </w:r>
    </w:p>
    <w:p>
      <w:pPr>
        <w:pStyle w:val="style35"/>
        <w:spacing w:after="283" w:before="0"/>
        <w:contextualSpacing w:val="false"/>
        <w:rPr/>
      </w:pPr>
      <w:bookmarkStart w:id="1105" w:name="Lbl85"/>
      <w:bookmarkEnd w:id="1105"/>
      <w:r>
        <w:rPr/>
        <w:t>&lt;1&gt; Сведения,   за  исключением  сведений  о  доходах,   указываются  по</w:t>
      </w:r>
    </w:p>
    <w:p>
      <w:pPr>
        <w:pStyle w:val="style35"/>
        <w:spacing w:after="283" w:before="0"/>
        <w:contextualSpacing w:val="false"/>
        <w:rPr/>
      </w:pPr>
      <w:r>
        <w:rPr/>
        <w:t>состоянию  на  первое  число  месяца, в котором осуществлено официальное</w:t>
      </w:r>
    </w:p>
    <w:p>
      <w:pPr>
        <w:pStyle w:val="style35"/>
        <w:spacing w:after="283" w:before="0"/>
        <w:contextualSpacing w:val="false"/>
        <w:rPr/>
      </w:pPr>
      <w:r>
        <w:rPr/>
        <w:t>опубликование (публикация) решения о назначении выборов.</w:t>
      </w:r>
    </w:p>
    <w:p>
      <w:pPr>
        <w:pStyle w:val="style35"/>
        <w:spacing w:after="283" w:before="0"/>
        <w:contextualSpacing w:val="false"/>
        <w:rPr/>
      </w:pPr>
      <w:bookmarkStart w:id="1106" w:name="Lbl86"/>
      <w:bookmarkEnd w:id="1106"/>
      <w:r>
        <w:rPr/>
        <w:t>&lt;2&gt; Указываются  доходы  (включая пенсии, пособия, иные выплаты) за год,</w:t>
      </w:r>
    </w:p>
    <w:p>
      <w:pPr>
        <w:pStyle w:val="style35"/>
        <w:spacing w:after="283" w:before="0"/>
        <w:contextualSpacing w:val="false"/>
        <w:rPr/>
      </w:pPr>
      <w:r>
        <w:rPr/>
        <w:t>предшествующий году назначения выборов, полученные от физических и (или)</w:t>
      </w:r>
    </w:p>
    <w:p>
      <w:pPr>
        <w:pStyle w:val="style35"/>
        <w:spacing w:after="283" w:before="0"/>
        <w:contextualSpacing w:val="false"/>
        <w:rPr/>
      </w:pPr>
      <w:r>
        <w:rPr/>
        <w:t>юридических  лиц,  являющихся  налоговыми  агентами  в   соответствии  с</w:t>
      </w:r>
    </w:p>
    <w:p>
      <w:pPr>
        <w:pStyle w:val="style35"/>
        <w:spacing w:after="283" w:before="0"/>
        <w:contextualSpacing w:val="false"/>
        <w:rPr/>
      </w:pPr>
      <w:r>
        <w:rPr/>
        <w:t>федеральными  законами,  организаций,  осуществляющих    соответствующие</w:t>
      </w:r>
    </w:p>
    <w:p>
      <w:pPr>
        <w:pStyle w:val="style35"/>
        <w:spacing w:after="283" w:before="0"/>
        <w:contextualSpacing w:val="false"/>
        <w:rPr/>
      </w:pPr>
      <w:r>
        <w:rPr/>
        <w:t>выплаты.</w:t>
      </w:r>
    </w:p>
    <w:p>
      <w:pPr>
        <w:pStyle w:val="style35"/>
        <w:spacing w:after="283" w:before="0"/>
        <w:contextualSpacing w:val="false"/>
        <w:rPr/>
      </w:pPr>
      <w:bookmarkStart w:id="1107" w:name="Lbl87"/>
      <w:bookmarkEnd w:id="1107"/>
      <w:r>
        <w:rPr/>
        <w:t>&lt;3&gt; Доход,  полученный  в  иностранной  валюте,  указывается в рублях по</w:t>
      </w:r>
    </w:p>
    <w:p>
      <w:pPr>
        <w:pStyle w:val="style35"/>
        <w:spacing w:after="283" w:before="0"/>
        <w:contextualSpacing w:val="false"/>
        <w:rPr/>
      </w:pPr>
      <w:r>
        <w:rPr/>
        <w:t>курсу Центрального банка Российской Федерации на дату получения  дохода.</w:t>
      </w:r>
    </w:p>
    <w:p>
      <w:pPr>
        <w:pStyle w:val="style35"/>
        <w:spacing w:after="283" w:before="0"/>
        <w:contextualSpacing w:val="false"/>
        <w:rPr/>
      </w:pPr>
      <w:bookmarkStart w:id="1108" w:name="Lbl88"/>
      <w:bookmarkEnd w:id="1108"/>
      <w:r>
        <w:rPr/>
        <w:t>&lt;4&gt; Указывается  вид  транспортного  средства:  легковой  автотранспорт,</w:t>
      </w:r>
    </w:p>
    <w:p>
      <w:pPr>
        <w:pStyle w:val="style35"/>
        <w:spacing w:after="283" w:before="0"/>
        <w:contextualSpacing w:val="false"/>
        <w:rPr/>
      </w:pPr>
      <w:r>
        <w:rPr/>
        <w:t>грузовой  автотранспорт,  прицепы,   водный  транспорт  и   другие  виды</w:t>
      </w:r>
    </w:p>
    <w:p>
      <w:pPr>
        <w:pStyle w:val="style35"/>
        <w:spacing w:after="283" w:before="0"/>
        <w:contextualSpacing w:val="false"/>
        <w:rPr/>
      </w:pPr>
      <w:r>
        <w:rPr/>
        <w:t>транспорта.</w:t>
      </w:r>
    </w:p>
    <w:p>
      <w:pPr>
        <w:pStyle w:val="style35"/>
        <w:spacing w:after="283" w:before="0"/>
        <w:contextualSpacing w:val="false"/>
        <w:rPr/>
      </w:pPr>
      <w:bookmarkStart w:id="1109" w:name="Lbl89"/>
      <w:bookmarkEnd w:id="1109"/>
      <w:r>
        <w:rPr/>
        <w:t>&lt;5&gt; Для  счетов  в  иностранной  валюте  остаток указывается в рублях по</w:t>
      </w:r>
    </w:p>
    <w:p>
      <w:pPr>
        <w:pStyle w:val="style35"/>
        <w:spacing w:after="283" w:before="0"/>
        <w:contextualSpacing w:val="false"/>
        <w:rPr/>
      </w:pPr>
      <w:r>
        <w:rPr/>
        <w:t>курсу Центрального банка Российской Федерации.</w:t>
      </w:r>
    </w:p>
    <w:p>
      <w:pPr>
        <w:pStyle w:val="style35"/>
        <w:spacing w:after="283" w:before="0"/>
        <w:contextualSpacing w:val="false"/>
        <w:rPr/>
      </w:pPr>
      <w:bookmarkStart w:id="1110" w:name="Lbl90"/>
      <w:bookmarkEnd w:id="1110"/>
      <w:r>
        <w:rPr/>
        <w:t>&lt;6&gt; Указываются полное или сокращенное  наименование  организации  и  ее</w:t>
      </w:r>
    </w:p>
    <w:p>
      <w:pPr>
        <w:pStyle w:val="style35"/>
        <w:spacing w:after="283" w:before="0"/>
        <w:contextualSpacing w:val="false"/>
        <w:rPr/>
      </w:pPr>
      <w:r>
        <w:rPr/>
        <w:t>организационно-правовая   форма   (акционерное    общество,  общество  с</w:t>
      </w:r>
    </w:p>
    <w:p>
      <w:pPr>
        <w:pStyle w:val="style35"/>
        <w:spacing w:after="283" w:before="0"/>
        <w:contextualSpacing w:val="false"/>
        <w:rPr/>
      </w:pPr>
      <w:r>
        <w:rPr/>
        <w:t>ограниченной ответственностью, товарищество, производственный кооператив</w:t>
      </w:r>
    </w:p>
    <w:p>
      <w:pPr>
        <w:pStyle w:val="style35"/>
        <w:spacing w:after="283" w:before="0"/>
        <w:contextualSpacing w:val="false"/>
        <w:rPr/>
      </w:pPr>
      <w:r>
        <w:rPr/>
        <w:t>и другие).</w:t>
      </w:r>
    </w:p>
    <w:p>
      <w:pPr>
        <w:pStyle w:val="style35"/>
        <w:spacing w:after="283" w:before="0"/>
        <w:contextualSpacing w:val="false"/>
        <w:rPr/>
      </w:pPr>
      <w:bookmarkStart w:id="1111" w:name="Lbl103"/>
      <w:bookmarkEnd w:id="1111"/>
      <w:r>
        <w:rPr/>
        <w:t>&lt;7&gt; Доля  участия  выражается   в  процентах  от уставного капитала. Для</w:t>
      </w:r>
    </w:p>
    <w:p>
      <w:pPr>
        <w:pStyle w:val="style35"/>
        <w:spacing w:after="283" w:before="0"/>
        <w:contextualSpacing w:val="false"/>
        <w:rPr/>
      </w:pPr>
      <w:r>
        <w:rPr/>
        <w:t>акционерных  обществ  указываются  номинальная  стоимость  и  количество</w:t>
      </w:r>
    </w:p>
    <w:p>
      <w:pPr>
        <w:pStyle w:val="style35"/>
        <w:spacing w:after="283" w:before="0"/>
        <w:contextualSpacing w:val="false"/>
        <w:rPr/>
      </w:pPr>
      <w:r>
        <w:rPr/>
        <w:t>акций.</w:t>
      </w:r>
    </w:p>
    <w:p>
      <w:pPr>
        <w:pStyle w:val="style35"/>
        <w:spacing w:after="283" w:before="0"/>
        <w:contextualSpacing w:val="false"/>
        <w:rPr/>
      </w:pPr>
      <w:bookmarkStart w:id="1112" w:name="Lbl104"/>
      <w:bookmarkEnd w:id="1112"/>
      <w:r>
        <w:rPr/>
        <w:t>&lt;8&gt; Указываются  все  ценные  бумаги по видам (облигации, векселя, чеки,</w:t>
      </w:r>
    </w:p>
    <w:p>
      <w:pPr>
        <w:pStyle w:val="style35"/>
        <w:spacing w:after="283" w:before="0"/>
        <w:contextualSpacing w:val="false"/>
        <w:rPr/>
      </w:pPr>
      <w:r>
        <w:rPr/>
        <w:t>сертификаты и другие), за исключением акций.</w:t>
      </w:r>
    </w:p>
    <w:p>
      <w:pPr>
        <w:pStyle w:val="style47"/>
        <w:rPr/>
      </w:pPr>
      <w:bookmarkStart w:id="1113" w:name="Lbl5000"/>
      <w:bookmarkEnd w:id="1113"/>
      <w:r>
        <w:rPr/>
        <w:t>Справочник наблюдателя — www.nablawiki.ru</w:t>
      </w:r>
    </w:p>
    <w:p>
      <w:pPr>
        <w:pStyle w:val="style2"/>
        <w:rPr>
          <w:rStyle w:val="style18"/>
        </w:rPr>
      </w:pPr>
      <w:r>
        <w:rPr>
          <w:rStyle w:val="style18"/>
        </w:rPr>
        <w:t>Приложение 5</w:t>
      </w:r>
    </w:p>
    <w:p>
      <w:pPr>
        <w:pStyle w:val="style44"/>
        <w:jc w:val="right"/>
        <w:rPr>
          <w:rStyle w:val="style18"/>
        </w:rPr>
      </w:pPr>
      <w:r>
        <w:rPr>
          <w:rStyle w:val="style18"/>
        </w:rPr>
        <w:t xml:space="preserve">к </w:t>
      </w:r>
      <w:hyperlink r:id="rId9">
        <w:r>
          <w:rPr>
            <w:rStyle w:val="style18"/>
          </w:rPr>
          <w:t>Закону</w:t>
        </w:r>
      </w:hyperlink>
      <w:r>
        <w:rPr>
          <w:rStyle w:val="style18"/>
        </w:rPr>
        <w:t xml:space="preserve"> Рязанской области</w:t>
      </w:r>
    </w:p>
    <w:p>
      <w:pPr>
        <w:pStyle w:val="style44"/>
        <w:jc w:val="right"/>
        <w:rPr>
          <w:rStyle w:val="style18"/>
        </w:rPr>
      </w:pPr>
      <w:r>
        <w:rPr>
          <w:rStyle w:val="style18"/>
        </w:rPr>
        <w:t>«О выборах депутатов представительного органа</w:t>
      </w:r>
    </w:p>
    <w:p>
      <w:pPr>
        <w:pStyle w:val="style44"/>
        <w:jc w:val="right"/>
        <w:rPr>
          <w:rStyle w:val="style18"/>
        </w:rPr>
      </w:pPr>
      <w:r>
        <w:rPr>
          <w:rStyle w:val="style18"/>
        </w:rPr>
        <w:t>муниципального образования в Рязанской области»</w:t>
      </w:r>
    </w:p>
    <w:p>
      <w:pPr>
        <w:pStyle w:val="style36"/>
        <w:rPr/>
      </w:pPr>
      <w:r>
        <w:rPr/>
        <w:t>Контрольные соотношения данных,</w:t>
        <w:br/>
        <w:t>внесенных в протокол об итогах голосования</w:t>
        <w:br/>
        <w:t>(числами обозначены строки протокола, пронумерованные в соответствии со </w:t>
      </w:r>
      <w:hyperlink w:anchor="Lbl63">
        <w:r>
          <w:rPr>
            <w:rStyle w:val="style17"/>
          </w:rPr>
          <w:t>статьей 63</w:t>
        </w:r>
      </w:hyperlink>
      <w:r>
        <w:rPr/>
        <w:t xml:space="preserve"> настоящего Закона)</w:t>
      </w:r>
    </w:p>
    <w:p>
      <w:pPr>
        <w:pStyle w:val="style22"/>
        <w:rPr/>
      </w:pPr>
      <w:r>
        <w:rPr/>
        <w:t>1 больше или равно 3 + 4</w:t>
      </w:r>
    </w:p>
    <w:p>
      <w:pPr>
        <w:pStyle w:val="style22"/>
        <w:rPr/>
      </w:pPr>
      <w:r>
        <w:rPr/>
        <w:t>2 равно 3 + 4 + 5 + 10 — 11</w:t>
      </w:r>
    </w:p>
    <w:p>
      <w:pPr>
        <w:pStyle w:val="style22"/>
        <w:rPr/>
      </w:pPr>
      <w:r>
        <w:rPr/>
        <w:t>6 + 7 равно 8 + 9</w:t>
      </w:r>
    </w:p>
    <w:p>
      <w:pPr>
        <w:pStyle w:val="style22"/>
        <w:widowControl/>
        <w:suppressAutoHyphens w:val="false"/>
        <w:spacing w:after="40" w:before="0" w:line="100" w:lineRule="atLeast"/>
        <w:contextualSpacing w:val="false"/>
        <w:jc w:val="both"/>
        <w:rPr/>
      </w:pPr>
      <w:r>
        <w:rPr/>
        <w:t>9 равно 12 + последующие строки протокола</w:t>
      </w:r>
    </w:p>
    <w:sectPr>
      <w:headerReference r:id="rId10" w:type="even"/>
      <w:headerReference r:id="rId11" w:type="default"/>
      <w:type w:val="nextPage"/>
      <w:pgSz w:h="16838" w:w="11906"/>
      <w:pgMar w:bottom="850" w:footer="0" w:gutter="0" w:header="850" w:left="1247" w:right="1247" w:top="1113"/>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mbria">
    <w:charset w:val="cc"/>
    <w:family w:val="roman"/>
    <w:pitch w:val="variable"/>
  </w:font>
  <w:font w:name="Arial">
    <w:charset w:val="cc"/>
    <w:family w:val="swiss"/>
    <w:pitch w:val="variable"/>
  </w:font>
  <w:font w:name="Consolas">
    <w:charset w:val="cc"/>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rPr>
        <w:caps w:val="false"/>
        <w:smallCaps w:val="false"/>
        <w:lang w:val="ru-RU"/>
      </w:rPr>
    </w:pPr>
    <w:r>
      <w:rPr>
        <w:smallCaps/>
        <w:lang w:val="ru-RU"/>
      </w:rPr>
      <w:fldChar w:fldCharType="begin"/>
    </w:r>
    <w:r>
      <w:instrText> PAGE </w:instrText>
    </w:r>
    <w:r>
      <w:fldChar w:fldCharType="separate"/>
    </w:r>
    <w:r>
      <w:t>78</w:t>
    </w:r>
    <w:r>
      <w:fldChar w:fldCharType="end"/>
    </w:r>
    <w:r>
      <w:rPr>
        <w:smallCaps/>
        <w:lang w:val="ru-RU"/>
      </w:rPr>
      <w:tab/>
    </w:r>
    <w:r>
      <w:rPr>
        <w:caps w:val="false"/>
        <w:smallCaps w:val="false"/>
        <w:lang w:val="ru-RU"/>
      </w:rPr>
      <w:t>Глава</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rPr>
        <w:smallCaps/>
        <w:lang w:val="ru-RU"/>
      </w:rPr>
    </w:pPr>
    <w:r>
      <w:rPr>
        <w:lang w:val="ru-RU"/>
      </w:rPr>
      <w:tab/>
    </w:r>
    <w:r>
      <w:rPr>
        <w:caps w:val="false"/>
        <w:smallCaps w:val="false"/>
        <w:shd w:fill="auto" w:val="clear"/>
        <w:lang w:val="ru-RU"/>
      </w:rPr>
      <w:t>Глава</w:t>
    </w:r>
    <w:r>
      <w:rPr>
        <w:smallCaps/>
        <w:lang w:val="ru-RU"/>
      </w:rPr>
      <w:tab/>
    </w:r>
    <w:r>
      <w:rPr>
        <w:smallCaps/>
        <w:lang w:val="ru-RU"/>
      </w:rPr>
      <w:fldChar w:fldCharType="begin"/>
    </w:r>
    <w:r>
      <w:instrText> PAGE </w:instrText>
    </w:r>
    <w:r>
      <w:fldChar w:fldCharType="separate"/>
    </w:r>
    <w:r>
      <w:t>133</w:t>
    </w:r>
    <w: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rPr>
        <w:caps w:val="false"/>
        <w:smallCaps w:val="false"/>
        <w:lang w:val="ru-RU"/>
      </w:rPr>
    </w:pPr>
    <w:r>
      <w:rPr>
        <w:smallCaps/>
        <w:lang w:val="ru-RU"/>
      </w:rPr>
      <w:fldChar w:fldCharType="begin"/>
    </w:r>
    <w:r>
      <w:instrText> PAGE </w:instrText>
    </w:r>
    <w:r>
      <w:fldChar w:fldCharType="separate"/>
    </w:r>
    <w:r>
      <w:t>78</w:t>
    </w:r>
    <w:r>
      <w:fldChar w:fldCharType="end"/>
    </w:r>
    <w:r>
      <w:rPr>
        <w:smallCaps/>
        <w:lang w:val="ru-RU"/>
      </w:rPr>
      <w:tab/>
    </w:r>
    <w:r>
      <w:rPr>
        <w:caps w:val="false"/>
        <w:smallCaps w:val="false"/>
        <w:lang w:val="ru-RU"/>
      </w:rPr>
      <w:t>Глава</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rPr>
        <w:smallCaps/>
        <w:lang w:val="ru-RU"/>
      </w:rPr>
    </w:pPr>
    <w:r>
      <w:rPr>
        <w:lang w:val="ru-RU"/>
      </w:rPr>
      <w:tab/>
    </w:r>
    <w:r>
      <w:rPr>
        <w:caps w:val="false"/>
        <w:smallCaps w:val="false"/>
        <w:shd w:fill="auto" w:val="clear"/>
        <w:lang w:val="ru-RU"/>
      </w:rPr>
      <w:t>Глава</w:t>
    </w:r>
    <w:r>
      <w:rPr>
        <w:smallCaps/>
        <w:lang w:val="ru-RU"/>
      </w:rPr>
      <w:tab/>
    </w:r>
    <w:r>
      <w:rPr>
        <w:smallCaps/>
        <w:lang w:val="ru-RU"/>
      </w:rPr>
      <w:fldChar w:fldCharType="begin"/>
    </w:r>
    <w:r>
      <w:instrText> PAGE </w:instrText>
    </w:r>
    <w:r>
      <w:fldChar w:fldCharType="separate"/>
    </w:r>
    <w:r>
      <w:t>133</w:t>
    </w:r>
    <w:r>
      <w:fldChar w:fldCharType="end"/>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96"/>
  <w:evenAndOddHeaders/>
</w:settings>
</file>

<file path=word/styles.xml><?xml version="1.0" encoding="utf-8"?>
<w:styles xmlns:w="http://schemas.openxmlformats.org/wordprocessingml/2006/main">
  <w:style w:styleId="style0" w:type="paragraph">
    <w:name w:val="Normal"/>
    <w:next w:val="style0"/>
    <w:pPr>
      <w:widowControl w:val="false"/>
      <w:shd w:fill="auto" w:val="clear"/>
      <w:suppressAutoHyphens w:val="true"/>
      <w:kinsoku w:val="true"/>
      <w:overflowPunct w:val="true"/>
      <w:autoSpaceDE w:val="true"/>
    </w:pPr>
    <w:rPr>
      <w:rFonts w:ascii="Cambria" w:cs="Mangal" w:eastAsia="SimSun" w:hAnsi="Cambria"/>
      <w:color w:val="auto"/>
      <w:sz w:val="25"/>
      <w:szCs w:val="24"/>
      <w:lang w:bidi="hi-IN" w:eastAsia="zh-CN" w:val="ru-RU"/>
    </w:rPr>
  </w:style>
  <w:style w:styleId="style1" w:type="paragraph">
    <w:name w:val="Заголовок 1"/>
    <w:basedOn w:val="style21"/>
    <w:next w:val="style22"/>
    <w:pPr>
      <w:keepLines/>
      <w:spacing w:after="170" w:before="0" w:line="100" w:lineRule="atLeast"/>
      <w:contextualSpacing w:val="false"/>
      <w:jc w:val="center"/>
    </w:pPr>
    <w:rPr>
      <w:rFonts w:ascii="Cambria" w:cs="Mangal" w:eastAsia="SimSun" w:hAnsi="Cambria"/>
      <w:b/>
      <w:bCs/>
      <w:sz w:val="24"/>
      <w:szCs w:val="48"/>
    </w:rPr>
  </w:style>
  <w:style w:styleId="style2" w:type="paragraph">
    <w:name w:val="Заголовок 2"/>
    <w:basedOn w:val="style21"/>
    <w:next w:val="style22"/>
    <w:pPr>
      <w:keepLines/>
      <w:shd w:fill="auto" w:val="clear"/>
      <w:spacing w:after="40" w:before="238"/>
      <w:contextualSpacing w:val="false"/>
      <w:jc w:val="center"/>
    </w:pPr>
    <w:rPr>
      <w:rFonts w:ascii="Cambria" w:cs="Mangal" w:eastAsia="SimSun" w:hAnsi="Cambria"/>
      <w:b/>
      <w:bCs/>
      <w:sz w:val="21"/>
      <w:szCs w:val="36"/>
    </w:rPr>
  </w:style>
  <w:style w:styleId="style3" w:type="paragraph">
    <w:name w:val="Заголовок 3"/>
    <w:basedOn w:val="style21"/>
    <w:next w:val="style22"/>
    <w:pPr>
      <w:keepLines/>
      <w:spacing w:after="40" w:before="221"/>
      <w:contextualSpacing w:val="false"/>
      <w:jc w:val="center"/>
    </w:pPr>
    <w:rPr>
      <w:rFonts w:ascii="Cambria" w:cs="Mangal" w:eastAsia="SimSun" w:hAnsi="Cambria"/>
      <w:b/>
      <w:bCs/>
      <w:sz w:val="20"/>
      <w:szCs w:val="28"/>
    </w:rPr>
  </w:style>
  <w:style w:styleId="style4" w:type="paragraph">
    <w:name w:val="Заголовок 4"/>
    <w:basedOn w:val="style21"/>
    <w:next w:val="style22"/>
    <w:pPr>
      <w:keepLines/>
      <w:spacing w:after="40" w:before="198"/>
      <w:contextualSpacing w:val="false"/>
    </w:pPr>
    <w:rPr>
      <w:rFonts w:ascii="Cambria" w:cs="Mangal" w:eastAsia="SimSun" w:hAnsi="Cambria"/>
      <w:b/>
      <w:bCs/>
      <w:sz w:val="21"/>
      <w:szCs w:val="24"/>
    </w:rPr>
  </w:style>
  <w:style w:styleId="style5" w:type="paragraph">
    <w:name w:val="Заголовок 5"/>
    <w:basedOn w:val="style21"/>
    <w:next w:val="style22"/>
    <w:pPr>
      <w:keepLines/>
      <w:numPr>
        <w:ilvl w:val="4"/>
        <w:numId w:val="1"/>
      </w:numPr>
      <w:spacing w:after="40" w:before="181"/>
      <w:ind w:hanging="0" w:left="0" w:right="0"/>
      <w:contextualSpacing w:val="false"/>
      <w:outlineLvl w:val="4"/>
    </w:pPr>
    <w:rPr>
      <w:rFonts w:ascii="Cambria" w:hAnsi="Cambria"/>
      <w:b/>
      <w:bCs/>
      <w:sz w:val="20"/>
      <w:szCs w:val="24"/>
    </w:rPr>
  </w:style>
  <w:style w:styleId="style6" w:type="paragraph">
    <w:name w:val="Заголовок 6"/>
    <w:basedOn w:val="style21"/>
    <w:next w:val="style22"/>
    <w:pPr>
      <w:keepLines/>
      <w:numPr>
        <w:ilvl w:val="5"/>
        <w:numId w:val="1"/>
      </w:numPr>
      <w:spacing w:after="40" w:before="159"/>
      <w:ind w:hanging="0" w:left="0" w:right="0"/>
      <w:contextualSpacing w:val="false"/>
      <w:outlineLvl w:val="5"/>
    </w:pPr>
    <w:rPr>
      <w:rFonts w:ascii="Cambria" w:hAnsi="Cambria"/>
      <w:b w:val="false"/>
      <w:bCs/>
      <w:smallCaps/>
      <w:spacing w:val="4"/>
      <w:sz w:val="21"/>
      <w:szCs w:val="21"/>
    </w:rPr>
  </w:style>
  <w:style w:styleId="style7" w:type="paragraph">
    <w:name w:val="Заголовок 7"/>
    <w:basedOn w:val="style21"/>
    <w:next w:val="style22"/>
    <w:pPr>
      <w:keepLines/>
      <w:numPr>
        <w:ilvl w:val="6"/>
        <w:numId w:val="1"/>
      </w:numPr>
      <w:spacing w:after="40" w:before="159"/>
      <w:ind w:hanging="0" w:left="0" w:right="0"/>
      <w:contextualSpacing w:val="false"/>
      <w:outlineLvl w:val="6"/>
    </w:pPr>
    <w:rPr>
      <w:rFonts w:ascii="Cambria" w:hAnsi="Cambria"/>
      <w:b/>
      <w:bCs/>
      <w:sz w:val="19"/>
      <w:szCs w:val="21"/>
    </w:rPr>
  </w:style>
  <w:style w:styleId="style15" w:type="character">
    <w:name w:val="Символы концевой сноски"/>
    <w:next w:val="style15"/>
    <w:rPr/>
  </w:style>
  <w:style w:styleId="style16" w:type="character">
    <w:name w:val="Символ сноски"/>
    <w:next w:val="style16"/>
    <w:rPr/>
  </w:style>
  <w:style w:styleId="style17" w:type="character">
    <w:name w:val="Интернет-ссылка"/>
    <w:next w:val="style17"/>
    <w:rPr>
      <w:color w:val="auto"/>
      <w:u w:val="none"/>
      <w:lang w:bidi="zxx-" w:eastAsia="zxx-"/>
    </w:rPr>
  </w:style>
  <w:style w:styleId="style18" w:type="character">
    <w:name w:val="Выделение жирным"/>
    <w:next w:val="style18"/>
    <w:rPr>
      <w:b/>
      <w:bCs/>
    </w:rPr>
  </w:style>
  <w:style w:styleId="style19" w:type="character">
    <w:name w:val="Посещённая гиперссылка"/>
    <w:next w:val="style19"/>
    <w:rPr>
      <w:color w:val="800000"/>
      <w:u w:val="single"/>
      <w:lang w:bidi="zxx-" w:eastAsia="zxx-"/>
    </w:rPr>
  </w:style>
  <w:style w:styleId="style20" w:type="character">
    <w:name w:val="Ссылка указателя"/>
    <w:next w:val="style20"/>
    <w:rPr/>
  </w:style>
  <w:style w:styleId="style21" w:type="paragraph">
    <w:name w:val="Заголовок"/>
    <w:basedOn w:val="style0"/>
    <w:next w:val="style22"/>
    <w:pPr>
      <w:keepNext/>
      <w:spacing w:after="120" w:before="240"/>
      <w:contextualSpacing w:val="false"/>
    </w:pPr>
    <w:rPr>
      <w:rFonts w:ascii="Arial" w:cs="Mangal" w:eastAsia="Microsoft YaHei" w:hAnsi="Arial"/>
      <w:sz w:val="28"/>
      <w:szCs w:val="28"/>
    </w:rPr>
  </w:style>
  <w:style w:styleId="style22" w:type="paragraph">
    <w:name w:val="Основной текст"/>
    <w:basedOn w:val="style0"/>
    <w:next w:val="style22"/>
    <w:pPr>
      <w:widowControl/>
      <w:suppressAutoHyphens w:val="false"/>
      <w:spacing w:after="40" w:before="0" w:line="100" w:lineRule="atLeast"/>
      <w:contextualSpacing w:val="false"/>
      <w:jc w:val="both"/>
    </w:pPr>
    <w:rPr>
      <w:rFonts w:ascii="Cambria" w:hAnsi="Cambria"/>
      <w:sz w:val="18"/>
    </w:rPr>
  </w:style>
  <w:style w:styleId="style23" w:type="paragraph">
    <w:name w:val="Список"/>
    <w:basedOn w:val="style22"/>
    <w:next w:val="style23"/>
    <w:pPr/>
    <w:rPr>
      <w:rFonts w:cs="Mangal"/>
    </w:rPr>
  </w:style>
  <w:style w:styleId="style24" w:type="paragraph">
    <w:name w:val="Название"/>
    <w:basedOn w:val="style0"/>
    <w:next w:val="style24"/>
    <w:pPr>
      <w:suppressLineNumbers/>
      <w:spacing w:after="120" w:before="120"/>
      <w:contextualSpacing w:val="false"/>
    </w:pPr>
    <w:rPr>
      <w:rFonts w:cs="Mangal"/>
      <w:i/>
      <w:iCs/>
      <w:sz w:val="24"/>
      <w:szCs w:val="24"/>
    </w:rPr>
  </w:style>
  <w:style w:styleId="style25" w:type="paragraph">
    <w:name w:val="Указатель"/>
    <w:basedOn w:val="style0"/>
    <w:next w:val="style25"/>
    <w:pPr>
      <w:suppressLineNumbers/>
    </w:pPr>
    <w:rPr>
      <w:rFonts w:cs="Mangal"/>
    </w:rPr>
  </w:style>
  <w:style w:styleId="style26" w:type="paragraph">
    <w:name w:val="Горизонтальная линия"/>
    <w:basedOn w:val="style0"/>
    <w:next w:val="style22"/>
    <w:pPr>
      <w:pBdr>
        <w:top w:val="nil"/>
        <w:left w:val="nil"/>
        <w:bottom w:color="808080" w:space="0" w:sz="2" w:val="double"/>
        <w:insideH w:color="808080" w:space="0" w:sz="2" w:val="double"/>
        <w:right w:val="nil"/>
        <w:insideV w:val="nil"/>
      </w:pBdr>
      <w:spacing w:after="0" w:before="0"/>
      <w:contextualSpacing w:val="false"/>
    </w:pPr>
    <w:rPr>
      <w:sz w:val="12"/>
    </w:rPr>
  </w:style>
  <w:style w:styleId="style27" w:type="paragraph">
    <w:name w:val="Отправитель"/>
    <w:basedOn w:val="style0"/>
    <w:next w:val="style27"/>
    <w:pPr/>
    <w:rPr>
      <w:i/>
    </w:rPr>
  </w:style>
  <w:style w:styleId="style28" w:type="paragraph">
    <w:name w:val="Содержимое таблицы"/>
    <w:basedOn w:val="style0"/>
    <w:next w:val="style28"/>
    <w:pPr>
      <w:suppressLineNumbers/>
    </w:pPr>
    <w:rPr/>
  </w:style>
  <w:style w:styleId="style29" w:type="paragraph">
    <w:name w:val="Нижний колонтитул"/>
    <w:basedOn w:val="style0"/>
    <w:next w:val="style29"/>
    <w:pPr>
      <w:suppressLineNumbers/>
      <w:pBdr>
        <w:top w:color="000000" w:space="0" w:sz="2" w:val="single"/>
        <w:left w:val="nil"/>
        <w:bottom w:val="nil"/>
        <w:insideH w:val="nil"/>
        <w:right w:val="nil"/>
        <w:insideV w:val="nil"/>
      </w:pBdr>
      <w:tabs>
        <w:tab w:leader="none" w:pos="4479" w:val="center"/>
        <w:tab w:leader="none" w:pos="8958" w:val="right"/>
      </w:tabs>
      <w:jc w:val="center"/>
    </w:pPr>
    <w:rPr>
      <w:sz w:val="20"/>
    </w:rPr>
  </w:style>
  <w:style w:styleId="style30" w:type="paragraph">
    <w:name w:val="Верхний колонтитул"/>
    <w:basedOn w:val="style0"/>
    <w:next w:val="style30"/>
    <w:pPr>
      <w:suppressLineNumbers/>
      <w:pBdr>
        <w:top w:val="nil"/>
        <w:left w:val="nil"/>
        <w:bottom w:val="nil"/>
        <w:insideH w:val="nil"/>
        <w:right w:val="nil"/>
        <w:insideV w:val="nil"/>
      </w:pBdr>
      <w:tabs>
        <w:tab w:leader="none" w:pos="4762" w:val="center"/>
        <w:tab w:leader="none" w:pos="9411" w:val="right"/>
      </w:tabs>
    </w:pPr>
    <w:rPr>
      <w:rFonts w:ascii="Cambria" w:hAnsi="Cambria"/>
      <w:sz w:val="16"/>
    </w:rPr>
  </w:style>
  <w:style w:styleId="style31" w:type="paragraph">
    <w:name w:val="Основной текст.h7"/>
    <w:basedOn w:val="style7"/>
    <w:next w:val="style22"/>
    <w:pPr>
      <w:spacing w:after="40" w:before="119"/>
      <w:ind w:hanging="0" w:left="0" w:right="0"/>
      <w:contextualSpacing w:val="false"/>
    </w:pPr>
    <w:rPr/>
  </w:style>
  <w:style w:styleId="style32" w:type="paragraph">
    <w:name w:val="Основной текст.g-title"/>
    <w:basedOn w:val="style22"/>
    <w:next w:val="style32"/>
    <w:pPr/>
    <w:rPr>
      <w:rFonts w:ascii="Cambria" w:hAnsi="Cambria"/>
      <w:vanish/>
      <w:color w:val="008000"/>
      <w:sz w:val="25"/>
    </w:rPr>
  </w:style>
  <w:style w:styleId="style33" w:type="paragraph">
    <w:name w:val="Основной текст.g-subtitle"/>
    <w:basedOn w:val="style22"/>
    <w:next w:val="style33"/>
    <w:pPr/>
    <w:rPr>
      <w:rFonts w:ascii="Cambria" w:hAnsi="Cambria"/>
      <w:vanish/>
      <w:color w:val="008000"/>
      <w:sz w:val="25"/>
    </w:rPr>
  </w:style>
  <w:style w:styleId="style34" w:type="paragraph">
    <w:name w:val="Основной текст.style2"/>
    <w:basedOn w:val="style22"/>
    <w:next w:val="style34"/>
    <w:pPr>
      <w:spacing w:after="0" w:before="0" w:line="100" w:lineRule="atLeast"/>
      <w:contextualSpacing w:val="false"/>
    </w:pPr>
    <w:rPr>
      <w:rFonts w:ascii="Consolas" w:hAnsi="Consolas"/>
      <w:sz w:val="17"/>
    </w:rPr>
  </w:style>
  <w:style w:styleId="style35" w:type="paragraph">
    <w:name w:val="Текст в заданном формате"/>
    <w:basedOn w:val="style0"/>
    <w:next w:val="style35"/>
    <w:pPr>
      <w:shd w:fill="auto" w:val="clear"/>
      <w:spacing w:after="0" w:before="0"/>
      <w:contextualSpacing w:val="false"/>
    </w:pPr>
    <w:rPr>
      <w:rFonts w:ascii="Consolas" w:cs="Courier New" w:eastAsia="NSimSun" w:hAnsi="Consolas"/>
      <w:sz w:val="16"/>
      <w:szCs w:val="20"/>
    </w:rPr>
  </w:style>
  <w:style w:styleId="style36" w:type="paragraph">
    <w:name w:val="Основной текст.style3"/>
    <w:basedOn w:val="style3"/>
    <w:next w:val="style22"/>
    <w:pPr/>
    <w:rPr/>
  </w:style>
  <w:style w:styleId="style37" w:type="paragraph">
    <w:name w:val="Основной текст.style7"/>
    <w:basedOn w:val="style22"/>
    <w:next w:val="style37"/>
    <w:pPr/>
    <w:rPr>
      <w:rFonts w:ascii="Cambria" w:hAnsi="Cambria"/>
      <w:sz w:val="25"/>
    </w:rPr>
  </w:style>
  <w:style w:styleId="style38" w:type="paragraph">
    <w:name w:val="Основной текст.style9"/>
    <w:basedOn w:val="style22"/>
    <w:next w:val="style38"/>
    <w:pPr>
      <w:suppressAutoHyphens w:val="false"/>
      <w:spacing w:after="57" w:before="57" w:line="170" w:lineRule="exact"/>
      <w:ind w:hanging="0" w:left="170" w:right="0"/>
      <w:contextualSpacing w:val="false"/>
      <w:jc w:val="both"/>
    </w:pPr>
    <w:rPr>
      <w:rFonts w:ascii="Cambria" w:hAnsi="Cambria"/>
      <w:i w:val="false"/>
      <w:vanish/>
      <w:color w:val="008000"/>
      <w:sz w:val="16"/>
    </w:rPr>
  </w:style>
  <w:style w:styleId="style39" w:type="paragraph">
    <w:name w:val="Основной текст.style15"/>
    <w:basedOn w:val="style22"/>
    <w:next w:val="style39"/>
    <w:pPr/>
    <w:rPr>
      <w:rFonts w:ascii="Cambria" w:hAnsi="Cambria"/>
      <w:sz w:val="25"/>
    </w:rPr>
  </w:style>
  <w:style w:styleId="style40" w:type="paragraph">
    <w:name w:val="Основной текст.style16"/>
    <w:basedOn w:val="style22"/>
    <w:next w:val="style40"/>
    <w:pPr>
      <w:jc w:val="left"/>
    </w:pPr>
    <w:rPr>
      <w:rFonts w:ascii="Cambria" w:hAnsi="Cambria"/>
      <w:sz w:val="18"/>
    </w:rPr>
  </w:style>
  <w:style w:styleId="style41" w:type="paragraph">
    <w:name w:val="Основной текст.style22"/>
    <w:basedOn w:val="style22"/>
    <w:next w:val="style41"/>
    <w:pPr/>
    <w:rPr>
      <w:rFonts w:ascii="Cambria" w:hAnsi="Cambria"/>
      <w:vanish/>
      <w:color w:val="008000"/>
      <w:sz w:val="25"/>
    </w:rPr>
  </w:style>
  <w:style w:styleId="style42" w:type="paragraph">
    <w:name w:val="Основной текст.style24"/>
    <w:basedOn w:val="style22"/>
    <w:next w:val="style42"/>
    <w:pPr/>
    <w:rPr>
      <w:rFonts w:ascii="Cambria" w:hAnsi="Cambria"/>
      <w:sz w:val="25"/>
    </w:rPr>
  </w:style>
  <w:style w:styleId="style43" w:type="paragraph">
    <w:name w:val="Основной текст.style25"/>
    <w:basedOn w:val="style22"/>
    <w:next w:val="style43"/>
    <w:pPr/>
    <w:rPr>
      <w:rFonts w:ascii="Cambria" w:hAnsi="Cambria"/>
      <w:sz w:val="25"/>
    </w:rPr>
  </w:style>
  <w:style w:styleId="style44" w:type="paragraph">
    <w:name w:val="Основной текст.style31"/>
    <w:basedOn w:val="style22"/>
    <w:next w:val="style44"/>
    <w:pPr>
      <w:spacing w:after="0" w:before="0" w:line="100" w:lineRule="atLeast"/>
      <w:contextualSpacing w:val="false"/>
      <w:jc w:val="left"/>
    </w:pPr>
    <w:rPr>
      <w:rFonts w:ascii="Cambria" w:hAnsi="Cambria"/>
      <w:sz w:val="18"/>
    </w:rPr>
  </w:style>
  <w:style w:styleId="style45" w:type="paragraph">
    <w:name w:val="Основной текст.style52"/>
    <w:basedOn w:val="style22"/>
    <w:next w:val="style45"/>
    <w:pPr>
      <w:suppressAutoHyphens w:val="true"/>
      <w:spacing w:after="363" w:before="57" w:line="227" w:lineRule="exact"/>
      <w:ind w:hanging="0" w:left="113" w:right="113"/>
      <w:contextualSpacing w:val="false"/>
      <w:jc w:val="center"/>
    </w:pPr>
    <w:rPr>
      <w:rFonts w:ascii="Cambria" w:hAnsi="Cambria"/>
      <w:i/>
      <w:sz w:val="18"/>
    </w:rPr>
  </w:style>
  <w:style w:styleId="style46" w:type="paragraph">
    <w:name w:val="Основной текст.article"/>
    <w:basedOn w:val="style22"/>
    <w:next w:val="style46"/>
    <w:pPr>
      <w:keepNext/>
      <w:keepLines/>
      <w:widowControl w:val="false"/>
      <w:suppressAutoHyphens w:val="true"/>
      <w:spacing w:after="40" w:before="119" w:line="100" w:lineRule="atLeast"/>
      <w:ind w:hanging="964" w:left="964" w:right="0"/>
      <w:contextualSpacing w:val="false"/>
      <w:jc w:val="left"/>
    </w:pPr>
    <w:rPr>
      <w:rFonts w:ascii="Cambria" w:hAnsi="Cambria"/>
      <w:sz w:val="19"/>
    </w:rPr>
  </w:style>
  <w:style w:styleId="style47" w:type="paragraph">
    <w:name w:val="Основной текст.colont"/>
    <w:basedOn w:val="style22"/>
    <w:next w:val="style47"/>
    <w:pPr>
      <w:keepNext/>
      <w:spacing w:after="0" w:before="0"/>
      <w:contextualSpacing w:val="false"/>
    </w:pPr>
    <w:rPr>
      <w:rFonts w:ascii="Cambria" w:hAnsi="Cambria"/>
      <w:vanish/>
      <w:color w:val="008000"/>
      <w:sz w:val="25"/>
    </w:rPr>
  </w:style>
  <w:style w:styleId="style48" w:type="paragraph">
    <w:name w:val="Основной текст.toc-0"/>
    <w:basedOn w:val="style22"/>
    <w:next w:val="style48"/>
    <w:pPr>
      <w:suppressAutoHyphens w:val="true"/>
    </w:pPr>
    <w:rPr>
      <w:rFonts w:ascii="Cambria" w:hAnsi="Cambria"/>
      <w:vanish/>
      <w:color w:val="008000"/>
      <w:sz w:val="23"/>
    </w:rPr>
  </w:style>
  <w:style w:styleId="style49" w:type="paragraph">
    <w:name w:val="Основной текст.toc-1"/>
    <w:basedOn w:val="style22"/>
    <w:next w:val="style49"/>
    <w:pPr>
      <w:keepNext/>
      <w:suppressAutoHyphens w:val="true"/>
      <w:spacing w:after="40" w:before="79" w:line="159" w:lineRule="exact"/>
      <w:contextualSpacing w:val="false"/>
      <w:jc w:val="left"/>
    </w:pPr>
    <w:rPr>
      <w:rFonts w:ascii="Cambria" w:hAnsi="Cambria"/>
      <w:b w:val="false"/>
      <w:sz w:val="16"/>
    </w:rPr>
  </w:style>
  <w:style w:styleId="style50" w:type="paragraph">
    <w:name w:val="Основной текст.toc-2"/>
    <w:basedOn w:val="style22"/>
    <w:next w:val="style50"/>
    <w:pPr>
      <w:suppressAutoHyphens w:val="true"/>
      <w:spacing w:after="0" w:before="0" w:line="159" w:lineRule="exact"/>
      <w:ind w:hanging="822" w:left="1134" w:right="0"/>
      <w:contextualSpacing w:val="false"/>
      <w:jc w:val="left"/>
    </w:pPr>
    <w:rPr>
      <w:rFonts w:ascii="Cambria" w:hAnsi="Cambria"/>
      <w:sz w:val="16"/>
    </w:rPr>
  </w:style>
  <w:style w:styleId="style51" w:type="paragraph">
    <w:name w:val="Основной текст.toc-3"/>
    <w:basedOn w:val="style22"/>
    <w:next w:val="style51"/>
    <w:pPr>
      <w:spacing w:after="0" w:before="0" w:line="159" w:lineRule="exact"/>
      <w:ind w:hanging="822" w:left="1701" w:right="0"/>
      <w:contextualSpacing w:val="false"/>
    </w:pPr>
    <w:rPr>
      <w:rFonts w:ascii="Cambria" w:hAnsi="Cambria"/>
      <w:sz w:val="16"/>
    </w:rPr>
  </w:style>
  <w:style w:styleId="style52" w:type="paragraph">
    <w:name w:val="Основной текст.toc-4"/>
    <w:basedOn w:val="style22"/>
    <w:next w:val="style52"/>
    <w:pPr>
      <w:keepLines/>
      <w:widowControl w:val="false"/>
      <w:suppressAutoHyphens w:val="true"/>
      <w:spacing w:after="0" w:before="0" w:line="159" w:lineRule="exact"/>
      <w:ind w:hanging="935" w:left="2069" w:right="0"/>
      <w:contextualSpacing w:val="false"/>
      <w:jc w:val="left"/>
    </w:pPr>
    <w:rPr>
      <w:rFonts w:ascii="Cambria" w:hAnsi="Cambria"/>
      <w:sz w:val="16"/>
    </w:rPr>
  </w:style>
  <w:style w:styleId="style53" w:type="paragraph">
    <w:name w:val="Основной текст.toc-5"/>
    <w:basedOn w:val="style22"/>
    <w:next w:val="style53"/>
    <w:pPr>
      <w:keepLines/>
      <w:widowControl w:val="false"/>
      <w:suppressAutoHyphens w:val="true"/>
      <w:spacing w:after="0" w:before="0" w:line="159" w:lineRule="exact"/>
      <w:ind w:hanging="822" w:left="2268" w:right="0"/>
      <w:contextualSpacing w:val="false"/>
      <w:jc w:val="left"/>
    </w:pPr>
    <w:rPr>
      <w:rFonts w:ascii="Cambria" w:hAnsi="Cambria"/>
      <w:sz w:val="16"/>
    </w:rPr>
  </w:style>
  <w:style w:styleId="style54" w:type="paragraph">
    <w:name w:val="Основной текст.toc-6"/>
    <w:basedOn w:val="style22"/>
    <w:next w:val="style54"/>
    <w:pPr>
      <w:keepLines/>
      <w:widowControl w:val="false"/>
      <w:suppressAutoHyphens w:val="true"/>
      <w:spacing w:after="0" w:before="0" w:line="159" w:lineRule="exact"/>
      <w:ind w:hanging="822" w:left="2835" w:right="0"/>
      <w:contextualSpacing w:val="false"/>
      <w:jc w:val="left"/>
    </w:pPr>
    <w:rPr>
      <w:rFonts w:ascii="Cambria" w:hAnsi="Cambria"/>
      <w:sz w:val="16"/>
    </w:rPr>
  </w:style>
  <w:style w:styleId="style55" w:type="paragraph">
    <w:name w:val="Основной текст.toc-7"/>
    <w:basedOn w:val="style22"/>
    <w:next w:val="style55"/>
    <w:pPr>
      <w:keepLines/>
      <w:widowControl w:val="false"/>
      <w:suppressAutoHyphens w:val="true"/>
      <w:spacing w:after="0" w:before="0" w:line="159" w:lineRule="exact"/>
      <w:ind w:hanging="822" w:left="3402" w:right="0"/>
      <w:contextualSpacing w:val="false"/>
      <w:jc w:val="left"/>
    </w:pPr>
    <w:rPr>
      <w:rFonts w:ascii="Cambria" w:hAnsi="Cambria"/>
      <w:sz w:val="16"/>
    </w:rPr>
  </w:style>
  <w:style w:styleId="style56" w:type="paragraph">
    <w:name w:val="Заголовок таблицы"/>
    <w:basedOn w:val="style28"/>
    <w:next w:val="style56"/>
    <w:pPr>
      <w:suppressLineNumbers/>
      <w:jc w:val="center"/>
    </w:pPr>
    <w:rPr>
      <w:b/>
      <w:bCs/>
    </w:rPr>
  </w:style>
  <w:style w:styleId="style57" w:type="paragraph">
    <w:name w:val="Верхний колонтитул слева"/>
    <w:basedOn w:val="style0"/>
    <w:next w:val="style57"/>
    <w:pPr>
      <w:suppressLineNumbers/>
      <w:tabs>
        <w:tab w:leader="none" w:pos="9638" w:val="right"/>
      </w:tabs>
    </w:pPr>
    <w:rPr>
      <w:rFonts w:ascii="Cambria" w:hAnsi="Cambria"/>
      <w:sz w:val="20"/>
    </w:rPr>
  </w:style>
  <w:style w:styleId="style58" w:type="paragraph">
    <w:name w:val="Верхний колонтитул справа"/>
    <w:basedOn w:val="style0"/>
    <w:next w:val="style58"/>
    <w:pPr>
      <w:suppressLineNumbers/>
      <w:tabs>
        <w:tab w:leader="none" w:pos="9638" w:val="right"/>
      </w:tabs>
    </w:pPr>
    <w:rPr>
      <w:rFonts w:ascii="Cambria" w:hAnsi="Cambria"/>
      <w:sz w:val="20"/>
    </w:rPr>
  </w:style>
  <w:style w:styleId="style59" w:type="paragraph">
    <w:name w:val="Оглавление 9"/>
    <w:basedOn w:val="style25"/>
    <w:next w:val="style59"/>
    <w:pPr>
      <w:keepLines/>
      <w:tabs>
        <w:tab w:leader="dot" w:pos="9411" w:val="right"/>
      </w:tabs>
      <w:spacing w:after="0" w:before="0" w:line="159" w:lineRule="exact"/>
      <w:ind w:hanging="822" w:left="1134" w:right="0"/>
      <w:contextualSpacing w:val="false"/>
    </w:pPr>
    <w:rPr>
      <w:sz w:val="16"/>
    </w:rPr>
  </w:style>
  <w:style w:styleId="style60" w:type="paragraph">
    <w:name w:val="Оглавление 1"/>
    <w:basedOn w:val="style25"/>
    <w:next w:val="style60"/>
    <w:pPr>
      <w:keepNext/>
      <w:keepLines/>
      <w:tabs>
        <w:tab w:leader="dot" w:pos="8958" w:val="right"/>
      </w:tabs>
      <w:spacing w:after="0" w:before="170" w:line="232" w:lineRule="exact"/>
      <w:ind w:hanging="0" w:left="0" w:right="0"/>
      <w:contextualSpacing w:val="false"/>
    </w:pPr>
    <w:rPr>
      <w:b/>
      <w:caps w:val="false"/>
      <w:smallCaps w:val="false"/>
      <w:vanish w:val="false"/>
      <w:color w:val="000000"/>
      <w:sz w:val="25"/>
    </w:rPr>
  </w:style>
  <w:style w:styleId="style61" w:type="paragraph">
    <w:name w:val="Оглавление 2"/>
    <w:basedOn w:val="style25"/>
    <w:next w:val="style61"/>
    <w:pPr>
      <w:keepNext/>
      <w:keepLines/>
      <w:tabs>
        <w:tab w:leader="dot" w:pos="9411" w:val="right"/>
      </w:tabs>
      <w:spacing w:after="0" w:before="40" w:line="159" w:lineRule="exact"/>
      <w:ind w:hanging="0" w:left="0" w:right="0"/>
      <w:contextualSpacing w:val="false"/>
    </w:pPr>
    <w:rPr>
      <w:b/>
      <w:sz w:val="16"/>
    </w:rPr>
  </w:style>
  <w:style w:styleId="style62" w:type="paragraph">
    <w:name w:val="Заголовок оглавления"/>
    <w:basedOn w:val="style21"/>
    <w:next w:val="style62"/>
    <w:pPr>
      <w:suppressLineNumbers/>
      <w:spacing w:after="0" w:before="0"/>
      <w:ind w:hanging="0" w:left="0" w:right="0"/>
      <w:contextualSpacing w:val="false"/>
      <w:jc w:val="center"/>
    </w:pPr>
    <w:rPr>
      <w:rFonts w:ascii="Cambria" w:hAnsi="Cambria"/>
      <w:b/>
      <w:bCs/>
      <w:sz w:val="21"/>
      <w:szCs w:val="32"/>
    </w:rPr>
  </w:style>
  <w:style w:styleId="style63" w:type="paragraph">
    <w:name w:val="Оглавление 3"/>
    <w:basedOn w:val="style25"/>
    <w:next w:val="style63"/>
    <w:pPr>
      <w:keepLines/>
      <w:tabs>
        <w:tab w:leader="dot" w:pos="8392" w:val="right"/>
      </w:tabs>
      <w:spacing w:after="0" w:before="0"/>
      <w:ind w:hanging="0" w:left="566" w:right="0"/>
      <w:contextualSpacing w:val="false"/>
    </w:pPr>
    <w:rPr/>
  </w:style>
  <w:style w:styleId="style64" w:type="paragraph">
    <w:name w:val="Оглавление 4"/>
    <w:basedOn w:val="style25"/>
    <w:next w:val="style64"/>
    <w:pPr>
      <w:keepLines/>
      <w:tabs>
        <w:tab w:leader="dot" w:pos="8109" w:val="right"/>
      </w:tabs>
      <w:spacing w:after="0" w:before="0"/>
      <w:ind w:hanging="0" w:left="849" w:right="0"/>
      <w:contextualSpacing w:val="false"/>
    </w:pPr>
    <w:rPr/>
  </w:style>
  <w:style w:styleId="style65" w:type="paragraph">
    <w:name w:val="Оглавление 5"/>
    <w:basedOn w:val="style25"/>
    <w:next w:val="style65"/>
    <w:pPr>
      <w:keepLines/>
      <w:tabs>
        <w:tab w:leader="dot" w:pos="7826" w:val="right"/>
      </w:tabs>
      <w:spacing w:after="0" w:before="0"/>
      <w:ind w:hanging="0" w:left="1132" w:right="0"/>
      <w:contextualSpacing w:val="false"/>
    </w:pPr>
    <w:rPr/>
  </w:style>
  <w:style w:styleId="style66" w:type="paragraph">
    <w:name w:val="Оглавление 6"/>
    <w:basedOn w:val="style25"/>
    <w:next w:val="style66"/>
    <w:pPr>
      <w:keepLines/>
      <w:tabs>
        <w:tab w:leader="dot" w:pos="7543" w:val="right"/>
      </w:tabs>
      <w:spacing w:after="0" w:before="0"/>
      <w:ind w:hanging="0" w:left="1415" w:right="0"/>
      <w:contextualSpacing w:val="false"/>
    </w:pPr>
    <w:rPr/>
  </w:style>
  <w:style w:styleId="style67" w:type="paragraph">
    <w:name w:val="Цитата"/>
    <w:basedOn w:val="style0"/>
    <w:next w:val="style67"/>
    <w:pPr>
      <w:spacing w:after="0" w:before="0"/>
      <w:ind w:hanging="0" w:left="567" w:right="567"/>
      <w:contextualSpacing w:val="false"/>
    </w:pPr>
    <w:rPr/>
  </w:style>
  <w:style w:styleId="style68" w:type="paragraph">
    <w:name w:val="Основной текст с отступом"/>
    <w:basedOn w:val="style22"/>
    <w:next w:val="style68"/>
    <w:pPr>
      <w:spacing w:after="0" w:before="0" w:line="100" w:lineRule="atLeast"/>
      <w:ind w:hanging="0" w:left="283" w:right="0"/>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C:/Perso/Parser/FileNew/html/&#1053;&#1055;&#1040;:&#1054;&#160;&#1074;&#1099;&#1073;&#1086;&#1088;&#1072;&#1093; &#1076;&#1077;&#1087;&#1091;&#1090;&#1072;&#1090;&#1086;&#1074; &#1084;&#1091;&#1085;&#1080;&#1094;&#1080;&#1087;&#1072;&#1083;&#1100;&#1085;&#1086;&#1075;&#1086;&#160;&#1086;&#1073;&#1088;&#1072;&#1079;&#1086;&#1074;&#1072;&#1085;&#1080;&#1103; &#1074;&#160;&#1056;&#1103;&#1079;&#1072;&#1085;&#1089;&#1082;&#1086;&#1081;&#160;&#1086;&#1073;&#1083;&#1072;&#1089;&#1090;&#1080; (&#1086;&#1073;&#1083;&#1072;&#1089;&#1090;&#1085;&#1086;&#1081; &#1079;&#1072;&#1082;&#1086;&#1085; &#1086;&#1090; 05.08.2011 &#8470; 63&#8722;&#1054;&#1047;)"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yperlink" Target="file:///C:/Perso/Parser/FileNew/html/&#1053;&#1055;&#1040;:&#1054;&#160;&#1074;&#1099;&#1073;&#1086;&#1088;&#1072;&#1093; &#1076;&#1077;&#1087;&#1091;&#1090;&#1072;&#1090;&#1086;&#1074; &#1084;&#1091;&#1085;&#1080;&#1094;&#1080;&#1087;&#1072;&#1083;&#1100;&#1085;&#1086;&#1075;&#1086;&#160;&#1086;&#1073;&#1088;&#1072;&#1079;&#1086;&#1074;&#1072;&#1085;&#1080;&#1103; &#1074;&#160;&#1056;&#1103;&#1079;&#1072;&#1085;&#1089;&#1082;&#1086;&#1081;&#160;&#1086;&#1073;&#1083;&#1072;&#1089;&#1090;&#1080; (&#1086;&#1073;&#1083;&#1072;&#1089;&#1090;&#1085;&#1086;&#1081; &#1079;&#1072;&#1082;&#1086;&#1085; &#1086;&#1090; 05.08.2011 &#8470; 63&#8722;&#1054;&#1047;)" TargetMode="External"/><Relationship Id="rId6" Type="http://schemas.openxmlformats.org/officeDocument/2006/relationships/hyperlink" Target="file:///C:/Perso/Parser/FileNew/html/&#1053;&#1055;&#1040;:&#1054;&#160;&#1074;&#1099;&#1073;&#1086;&#1088;&#1072;&#1093; &#1076;&#1077;&#1087;&#1091;&#1090;&#1072;&#1090;&#1086;&#1074; &#1084;&#1091;&#1085;&#1080;&#1094;&#1080;&#1087;&#1072;&#1083;&#1100;&#1085;&#1086;&#1075;&#1086;&#160;&#1086;&#1073;&#1088;&#1072;&#1079;&#1086;&#1074;&#1072;&#1085;&#1080;&#1103; &#1074;&#160;&#1056;&#1103;&#1079;&#1072;&#1085;&#1089;&#1082;&#1086;&#1081;&#160;&#1086;&#1073;&#1083;&#1072;&#1089;&#1090;&#1080; (&#1086;&#1073;&#1083;&#1072;&#1089;&#1090;&#1085;&#1086;&#1081; &#1079;&#1072;&#1082;&#1086;&#1085; &#1086;&#1090; 05.08.2011 &#8470; 63&#8722;&#1054;&#1047;)" TargetMode="External"/><Relationship Id="rId7" Type="http://schemas.openxmlformats.org/officeDocument/2006/relationships/hyperlink" Target="file:///C:/Perso/Parser/FileNew/html/&#1053;&#1055;&#1040;:&#1054;&#160;&#1074;&#1099;&#1073;&#1086;&#1088;&#1072;&#1093; &#1076;&#1077;&#1087;&#1091;&#1090;&#1072;&#1090;&#1086;&#1074; &#1084;&#1091;&#1085;&#1080;&#1094;&#1080;&#1087;&#1072;&#1083;&#1100;&#1085;&#1086;&#1075;&#1086;&#160;&#1086;&#1073;&#1088;&#1072;&#1079;&#1086;&#1074;&#1072;&#1085;&#1080;&#1103; &#1074;&#160;&#1056;&#1103;&#1079;&#1072;&#1085;&#1089;&#1082;&#1086;&#1081;&#160;&#1086;&#1073;&#1083;&#1072;&#1089;&#1090;&#1080; (&#1086;&#1073;&#1083;&#1072;&#1089;&#1090;&#1085;&#1086;&#1081; &#1079;&#1072;&#1082;&#1086;&#1085; &#1086;&#1090; 05.08.2011 &#8470; 63&#8722;&#1054;&#1047;)" TargetMode="External"/><Relationship Id="rId8" Type="http://schemas.openxmlformats.org/officeDocument/2006/relationships/hyperlink" Target="file:///C:/Perso/Parser/FileNew/html/&#1053;&#1055;&#1040;:&#1054;&#160;&#1074;&#1099;&#1073;&#1086;&#1088;&#1072;&#1093; &#1076;&#1077;&#1087;&#1091;&#1090;&#1072;&#1090;&#1086;&#1074; &#1084;&#1091;&#1085;&#1080;&#1094;&#1080;&#1087;&#1072;&#1083;&#1100;&#1085;&#1086;&#1075;&#1086;&#160;&#1086;&#1073;&#1088;&#1072;&#1079;&#1086;&#1074;&#1072;&#1085;&#1080;&#1103; &#1074;&#160;&#1056;&#1103;&#1079;&#1072;&#1085;&#1089;&#1082;&#1086;&#1081;&#160;&#1086;&#1073;&#1083;&#1072;&#1089;&#1090;&#1080; (&#1086;&#1073;&#1083;&#1072;&#1089;&#1090;&#1085;&#1086;&#1081; &#1079;&#1072;&#1082;&#1086;&#1085; &#1086;&#1090; 05.08.2011 &#8470; 63&#8722;&#1054;&#1047;)" TargetMode="External"/><Relationship Id="rId9" Type="http://schemas.openxmlformats.org/officeDocument/2006/relationships/hyperlink" Target="file:///C:/Perso/Parser/FileNew/html/&#1053;&#1055;&#1040;:&#1054;&#160;&#1074;&#1099;&#1073;&#1086;&#1088;&#1072;&#1093; &#1076;&#1077;&#1087;&#1091;&#1090;&#1072;&#1090;&#1086;&#1074; &#1084;&#1091;&#1085;&#1080;&#1094;&#1080;&#1087;&#1072;&#1083;&#1100;&#1085;&#1086;&#1075;&#1086;&#160;&#1086;&#1073;&#1088;&#1072;&#1079;&#1086;&#1074;&#1072;&#1085;&#1080;&#1103; &#1074;&#160;&#1056;&#1103;&#1079;&#1072;&#1085;&#1089;&#1082;&#1086;&#1081;&#160;&#1086;&#1073;&#1083;&#1072;&#1089;&#1090;&#1080; (&#1086;&#1073;&#1083;&#1072;&#1089;&#1090;&#1085;&#1086;&#1081; &#1079;&#1072;&#1082;&#1086;&#1085; &#1086;&#1090; 05.08.2011 &#8470; 63&#8722;&#1054;&#1047;)" TargetMode="Externa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LibreOffice/4.1.4.2$Windows_x86 LibreOffice_project/0a0440ccc0227ad9829de5f46be37cfb6edcf72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lastModifiedBy>Stanislaw Raczynski</cp:lastModifiedBy>
  <dcterms:modified xsi:type="dcterms:W3CDTF">2014-02-09T00:06:21Z</dcterms:modified>
  <cp:revision>0</cp:revision>
  <dc:title>О выборах депутатов муниципального образования в Рязанской области (областной закон от 05.08.2011 № 63−ОЗ)</dc:title>
</cp:coreProperties>
</file>